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jc w:val="center"/>
        <w:rPr>
          <w:rFonts w:hint="eastAsia" w:ascii="楷体" w:hAnsi="楷体" w:eastAsia="楷体" w:cs="楷体"/>
          <w:b/>
          <w:sz w:val="72"/>
          <w:szCs w:val="72"/>
        </w:rPr>
      </w:pPr>
    </w:p>
    <w:p>
      <w:pPr>
        <w:ind w:firstLine="0"/>
        <w:jc w:val="center"/>
        <w:rPr>
          <w:rFonts w:hint="eastAsia" w:ascii="楷体" w:hAnsi="楷体" w:eastAsia="楷体" w:cs="楷体"/>
          <w:b/>
          <w:sz w:val="72"/>
          <w:szCs w:val="72"/>
          <w:lang w:eastAsia="zh-CN"/>
        </w:rPr>
      </w:pPr>
      <w:r>
        <w:rPr>
          <w:rFonts w:hint="eastAsia" w:ascii="楷体" w:hAnsi="楷体" w:eastAsia="楷体" w:cs="楷体"/>
          <w:b/>
          <w:sz w:val="72"/>
          <w:szCs w:val="72"/>
        </w:rPr>
        <w:t>中等职业</w:t>
      </w:r>
      <w:r>
        <w:rPr>
          <w:rFonts w:hint="eastAsia" w:ascii="楷体" w:hAnsi="楷体" w:eastAsia="楷体" w:cs="楷体"/>
          <w:b/>
          <w:sz w:val="72"/>
          <w:szCs w:val="72"/>
          <w:lang w:val="en-US" w:eastAsia="zh-CN"/>
        </w:rPr>
        <w:t>教育</w:t>
      </w:r>
    </w:p>
    <w:p>
      <w:pPr>
        <w:ind w:firstLine="0"/>
        <w:jc w:val="center"/>
        <w:rPr>
          <w:rFonts w:hint="eastAsia" w:ascii="楷体" w:hAnsi="楷体" w:eastAsia="楷体" w:cs="楷体"/>
          <w:b/>
          <w:sz w:val="72"/>
          <w:szCs w:val="72"/>
        </w:rPr>
      </w:pPr>
    </w:p>
    <w:p>
      <w:pPr>
        <w:ind w:firstLine="0"/>
        <w:jc w:val="center"/>
        <w:rPr>
          <w:rFonts w:hint="eastAsia" w:ascii="楷体" w:hAnsi="楷体" w:eastAsia="楷体" w:cs="楷体"/>
          <w:b/>
          <w:sz w:val="72"/>
          <w:szCs w:val="72"/>
          <w:lang w:eastAsia="zh-CN"/>
        </w:rPr>
      </w:pPr>
      <w:r>
        <w:rPr>
          <w:rFonts w:hint="eastAsia" w:ascii="楷体" w:hAnsi="楷体" w:eastAsia="楷体" w:cs="楷体"/>
          <w:b/>
          <w:sz w:val="72"/>
          <w:szCs w:val="72"/>
          <w:lang w:eastAsia="zh-CN"/>
        </w:rPr>
        <w:t>质</w:t>
      </w:r>
    </w:p>
    <w:p>
      <w:pPr>
        <w:ind w:firstLine="0"/>
        <w:jc w:val="center"/>
        <w:rPr>
          <w:rFonts w:hint="eastAsia" w:ascii="楷体" w:hAnsi="楷体" w:eastAsia="楷体" w:cs="楷体"/>
          <w:b/>
          <w:sz w:val="72"/>
          <w:szCs w:val="72"/>
          <w:lang w:eastAsia="zh-CN"/>
        </w:rPr>
      </w:pPr>
      <w:r>
        <w:rPr>
          <w:rFonts w:hint="eastAsia" w:ascii="楷体" w:hAnsi="楷体" w:eastAsia="楷体" w:cs="楷体"/>
          <w:b/>
          <w:sz w:val="72"/>
          <w:szCs w:val="72"/>
          <w:lang w:eastAsia="zh-CN"/>
        </w:rPr>
        <w:t>量</w:t>
      </w:r>
    </w:p>
    <w:p>
      <w:pPr>
        <w:ind w:firstLine="0"/>
        <w:jc w:val="center"/>
        <w:rPr>
          <w:rFonts w:hint="eastAsia" w:ascii="楷体" w:hAnsi="楷体" w:eastAsia="楷体" w:cs="楷体"/>
          <w:b/>
          <w:sz w:val="72"/>
          <w:szCs w:val="72"/>
          <w:lang w:eastAsia="zh-CN"/>
        </w:rPr>
      </w:pPr>
      <w:r>
        <w:rPr>
          <w:rFonts w:hint="eastAsia" w:ascii="楷体" w:hAnsi="楷体" w:eastAsia="楷体" w:cs="楷体"/>
          <w:b/>
          <w:sz w:val="72"/>
          <w:szCs w:val="72"/>
          <w:lang w:eastAsia="zh-CN"/>
        </w:rPr>
        <w:t>年</w:t>
      </w:r>
    </w:p>
    <w:p>
      <w:pPr>
        <w:ind w:firstLine="0"/>
        <w:jc w:val="center"/>
        <w:rPr>
          <w:rFonts w:hint="eastAsia" w:ascii="楷体" w:hAnsi="楷体" w:eastAsia="楷体" w:cs="楷体"/>
          <w:b/>
          <w:sz w:val="72"/>
          <w:szCs w:val="72"/>
          <w:lang w:eastAsia="zh-CN"/>
        </w:rPr>
      </w:pPr>
      <w:r>
        <w:rPr>
          <w:rFonts w:hint="eastAsia" w:ascii="楷体" w:hAnsi="楷体" w:eastAsia="楷体" w:cs="楷体"/>
          <w:b/>
          <w:sz w:val="72"/>
          <w:szCs w:val="72"/>
          <w:lang w:eastAsia="zh-CN"/>
        </w:rPr>
        <w:t>度</w:t>
      </w:r>
    </w:p>
    <w:p>
      <w:pPr>
        <w:ind w:firstLine="0"/>
        <w:jc w:val="center"/>
        <w:rPr>
          <w:rFonts w:hint="eastAsia" w:ascii="楷体" w:hAnsi="楷体" w:eastAsia="楷体" w:cs="楷体"/>
          <w:b/>
          <w:sz w:val="72"/>
          <w:szCs w:val="72"/>
        </w:rPr>
      </w:pPr>
      <w:r>
        <w:rPr>
          <w:rFonts w:hint="eastAsia" w:ascii="楷体" w:hAnsi="楷体" w:eastAsia="楷体" w:cs="楷体"/>
          <w:b/>
          <w:sz w:val="72"/>
          <w:szCs w:val="72"/>
        </w:rPr>
        <w:t>报</w:t>
      </w:r>
    </w:p>
    <w:p>
      <w:pPr>
        <w:ind w:firstLine="0"/>
        <w:jc w:val="center"/>
        <w:rPr>
          <w:rFonts w:hint="eastAsia" w:ascii="楷体" w:hAnsi="楷体" w:eastAsia="楷体" w:cs="楷体"/>
          <w:b/>
          <w:sz w:val="72"/>
          <w:szCs w:val="72"/>
        </w:rPr>
      </w:pPr>
      <w:r>
        <w:rPr>
          <w:rFonts w:hint="eastAsia" w:ascii="楷体" w:hAnsi="楷体" w:eastAsia="楷体" w:cs="楷体"/>
          <w:b/>
          <w:sz w:val="72"/>
          <w:szCs w:val="72"/>
        </w:rPr>
        <w:t>告</w:t>
      </w:r>
    </w:p>
    <w:p>
      <w:pPr>
        <w:ind w:firstLine="200"/>
        <w:jc w:val="center"/>
        <w:rPr>
          <w:rFonts w:hint="eastAsia" w:ascii="楷体" w:hAnsi="楷体" w:eastAsia="楷体" w:cs="楷体"/>
          <w:b/>
          <w:sz w:val="30"/>
          <w:szCs w:val="30"/>
        </w:rPr>
      </w:pPr>
    </w:p>
    <w:p>
      <w:pPr>
        <w:ind w:firstLine="200"/>
        <w:jc w:val="center"/>
        <w:rPr>
          <w:rFonts w:hint="eastAsia" w:ascii="楷体" w:hAnsi="楷体" w:eastAsia="楷体" w:cs="楷体"/>
          <w:b/>
          <w:sz w:val="30"/>
          <w:szCs w:val="30"/>
        </w:rPr>
      </w:pPr>
    </w:p>
    <w:p>
      <w:pPr>
        <w:jc w:val="center"/>
        <w:rPr>
          <w:rFonts w:hint="eastAsia" w:ascii="楷体" w:hAnsi="楷体" w:eastAsia="楷体" w:cs="楷体"/>
          <w:b/>
          <w:sz w:val="52"/>
          <w:szCs w:val="52"/>
        </w:rPr>
      </w:pPr>
      <w:r>
        <w:rPr>
          <w:rFonts w:hint="eastAsia" w:ascii="楷体" w:hAnsi="楷体" w:eastAsia="楷体" w:cs="楷体"/>
          <w:b/>
          <w:sz w:val="52"/>
          <w:szCs w:val="52"/>
        </w:rPr>
        <w:t>阜阳工业经济学校</w:t>
      </w:r>
    </w:p>
    <w:p>
      <w:pPr>
        <w:jc w:val="center"/>
        <w:rPr>
          <w:rFonts w:hint="eastAsia" w:ascii="楷体" w:hAnsi="楷体" w:eastAsia="楷体" w:cs="楷体"/>
          <w:lang w:val="en-US" w:eastAsia="zh-CN"/>
        </w:rPr>
      </w:pPr>
      <w:r>
        <w:rPr>
          <w:rFonts w:hint="eastAsia" w:ascii="楷体" w:hAnsi="楷体" w:eastAsia="楷体" w:cs="楷体"/>
          <w:b/>
          <w:sz w:val="52"/>
          <w:szCs w:val="52"/>
        </w:rPr>
        <w:t>二</w:t>
      </w:r>
      <w:r>
        <w:rPr>
          <w:rFonts w:hint="eastAsia" w:ascii="楷体" w:hAnsi="楷体" w:eastAsia="楷体" w:cs="楷体"/>
          <w:b/>
          <w:sz w:val="52"/>
          <w:szCs w:val="52"/>
          <w:lang w:val="en-US" w:eastAsia="zh-CN"/>
        </w:rPr>
        <w:t>0</w:t>
      </w:r>
      <w:r>
        <w:rPr>
          <w:rFonts w:hint="eastAsia" w:ascii="楷体" w:hAnsi="楷体" w:eastAsia="楷体" w:cs="楷体"/>
          <w:b/>
          <w:sz w:val="52"/>
          <w:szCs w:val="52"/>
          <w:lang w:eastAsia="zh-CN"/>
        </w:rPr>
        <w:t>二</w:t>
      </w:r>
      <w:r>
        <w:rPr>
          <w:rFonts w:hint="eastAsia" w:ascii="楷体" w:hAnsi="楷体" w:eastAsia="楷体" w:cs="楷体"/>
          <w:b/>
          <w:sz w:val="52"/>
          <w:szCs w:val="52"/>
          <w:lang w:val="en-US" w:eastAsia="zh-CN"/>
        </w:rPr>
        <w:t>二</w:t>
      </w:r>
      <w:r>
        <w:rPr>
          <w:rFonts w:hint="eastAsia" w:ascii="楷体" w:hAnsi="楷体" w:eastAsia="楷体" w:cs="楷体"/>
          <w:b/>
          <w:sz w:val="52"/>
          <w:szCs w:val="52"/>
        </w:rPr>
        <w:t>年十</w:t>
      </w:r>
      <w:r>
        <w:rPr>
          <w:rFonts w:hint="eastAsia" w:ascii="楷体" w:hAnsi="楷体" w:eastAsia="楷体" w:cs="楷体"/>
          <w:b/>
          <w:sz w:val="52"/>
          <w:szCs w:val="52"/>
          <w:lang w:val="en-US" w:eastAsia="zh-CN"/>
        </w:rPr>
        <w:t>二</w:t>
      </w:r>
      <w:r>
        <w:rPr>
          <w:rFonts w:hint="eastAsia" w:ascii="楷体" w:hAnsi="楷体" w:eastAsia="楷体" w:cs="楷体"/>
          <w:b/>
          <w:sz w:val="52"/>
          <w:szCs w:val="52"/>
        </w:rPr>
        <w:t>月</w:t>
      </w:r>
      <w:r>
        <w:rPr>
          <w:rFonts w:hint="eastAsia" w:ascii="楷体" w:hAnsi="楷体" w:eastAsia="楷体" w:cs="楷体"/>
        </w:rPr>
        <w:fldChar w:fldCharType="begin"/>
      </w:r>
      <w:r>
        <w:rPr>
          <w:rFonts w:hint="eastAsia"/>
        </w:rPr>
        <w:instrText xml:space="preserve">TOC \o "1 - 3" \h \z \u"</w:instrText>
      </w:r>
      <w:r>
        <w:fldChar w:fldCharType="separate"/>
      </w:r>
    </w:p>
    <w:p>
      <w:pPr>
        <w:spacing w:line="360" w:lineRule="auto"/>
        <w:rPr>
          <w:rFonts w:hint="eastAsia" w:ascii="楷体" w:hAnsi="楷体" w:eastAsia="楷体" w:cs="楷体"/>
          <w:b/>
          <w:sz w:val="24"/>
          <w:szCs w:val="24"/>
          <w:lang w:val="zh-CN"/>
        </w:rPr>
      </w:pPr>
    </w:p>
    <w:p>
      <w:pPr>
        <w:spacing w:line="360" w:lineRule="auto"/>
        <w:rPr>
          <w:rFonts w:hint="eastAsia" w:ascii="楷体" w:hAnsi="楷体" w:eastAsia="楷体" w:cs="楷体"/>
          <w:b/>
          <w:sz w:val="24"/>
          <w:szCs w:val="24"/>
          <w:lang w:val="zh-CN"/>
        </w:rPr>
      </w:pPr>
    </w:p>
    <w:p>
      <w:pPr>
        <w:spacing w:line="360" w:lineRule="auto"/>
        <w:rPr>
          <w:rFonts w:hint="eastAsia" w:ascii="楷体" w:hAnsi="楷体" w:eastAsia="楷体" w:cs="楷体"/>
          <w:b/>
          <w:sz w:val="24"/>
          <w:szCs w:val="24"/>
          <w:lang w:val="zh-CN"/>
        </w:rPr>
      </w:pPr>
    </w:p>
    <w:p>
      <w:pPr>
        <w:spacing w:line="360" w:lineRule="auto"/>
        <w:rPr>
          <w:rFonts w:hint="eastAsia" w:ascii="楷体" w:hAnsi="楷体" w:eastAsia="楷体" w:cs="楷体"/>
          <w:b/>
          <w:sz w:val="24"/>
          <w:szCs w:val="24"/>
          <w:lang w:val="zh-CN"/>
        </w:rPr>
      </w:pPr>
    </w:p>
    <w:p>
      <w:pPr>
        <w:spacing w:line="360" w:lineRule="auto"/>
        <w:rPr>
          <w:rFonts w:hint="eastAsia" w:ascii="楷体" w:hAnsi="楷体" w:eastAsia="楷体" w:cs="楷体"/>
          <w:b/>
          <w:sz w:val="24"/>
          <w:szCs w:val="24"/>
          <w:lang w:val="zh-CN"/>
        </w:rPr>
      </w:pPr>
    </w:p>
    <w:p>
      <w:pPr>
        <w:rPr>
          <w:rFonts w:hint="eastAsia" w:ascii="仿宋" w:hAnsi="仿宋" w:eastAsia="仿宋" w:cs="仿宋"/>
          <w:sz w:val="32"/>
          <w:szCs w:val="32"/>
          <w:lang w:eastAsia="zh-CN"/>
        </w:rPr>
      </w:pPr>
      <w:r>
        <w:rPr>
          <w:rFonts w:hint="eastAsia" w:ascii="楷体" w:hAnsi="楷体" w:eastAsia="楷体" w:cs="楷体"/>
          <w:b/>
          <w:sz w:val="24"/>
          <w:szCs w:val="24"/>
          <w:lang w:val="zh-CN"/>
        </w:rPr>
        <w:fldChar w:fldCharType="end"/>
      </w:r>
      <w:r>
        <w:rPr>
          <w:rFonts w:hint="eastAsia" w:ascii="仿宋" w:hAnsi="仿宋" w:eastAsia="仿宋" w:cs="仿宋"/>
          <w:b/>
          <w:sz w:val="32"/>
          <w:szCs w:val="32"/>
          <w:lang w:val="zh-CN"/>
        </w:rPr>
        <w:t xml:space="preserve">  </w:t>
      </w:r>
      <w:r>
        <w:rPr>
          <w:rFonts w:hint="eastAsia" w:ascii="仿宋" w:hAnsi="仿宋" w:eastAsia="仿宋" w:cs="仿宋"/>
          <w:b/>
          <w:bCs w:val="0"/>
          <w:sz w:val="32"/>
          <w:szCs w:val="32"/>
          <w:lang w:val="en-US" w:eastAsia="zh-CN"/>
        </w:rPr>
        <w:t xml:space="preserve">  </w:t>
      </w:r>
      <w:r>
        <w:rPr>
          <w:rFonts w:hint="eastAsia" w:ascii="仿宋" w:hAnsi="仿宋" w:eastAsia="仿宋" w:cs="仿宋"/>
          <w:b/>
          <w:bCs w:val="0"/>
          <w:sz w:val="32"/>
          <w:szCs w:val="32"/>
        </w:rPr>
        <w:t>一</w:t>
      </w:r>
      <w:r>
        <w:rPr>
          <w:rFonts w:hint="eastAsia" w:ascii="仿宋" w:hAnsi="仿宋" w:eastAsia="仿宋" w:cs="仿宋"/>
          <w:b/>
          <w:bCs w:val="0"/>
          <w:sz w:val="32"/>
          <w:szCs w:val="32"/>
          <w:lang w:eastAsia="zh-CN"/>
        </w:rPr>
        <w:t>、</w:t>
      </w:r>
      <w:r>
        <w:rPr>
          <w:rFonts w:hint="eastAsia" w:ascii="仿宋" w:hAnsi="仿宋" w:eastAsia="仿宋" w:cs="仿宋"/>
          <w:b/>
          <w:bCs w:val="0"/>
          <w:sz w:val="32"/>
          <w:szCs w:val="32"/>
          <w:lang w:val="en-US" w:eastAsia="zh-CN"/>
        </w:rPr>
        <w:t>基本</w:t>
      </w:r>
      <w:r>
        <w:rPr>
          <w:rFonts w:hint="eastAsia" w:ascii="仿宋" w:hAnsi="仿宋" w:eastAsia="仿宋" w:cs="仿宋"/>
          <w:b/>
          <w:bCs w:val="0"/>
          <w:sz w:val="32"/>
          <w:szCs w:val="32"/>
          <w:lang w:eastAsia="zh-CN"/>
        </w:rPr>
        <w:t>情况</w:t>
      </w:r>
    </w:p>
    <w:p>
      <w:p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1学校概况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阜阳工业经济学校创办于1981年，是经安徽省政府批准、阜阳市财政局主管、具有40多年办学积淀的中等职业学校， 2016年经阜阳市政府批准原安徽省阜阳商业学校合并到我校，现有</w:t>
      </w:r>
      <w:r>
        <w:rPr>
          <w:rFonts w:hint="eastAsia" w:ascii="仿宋" w:hAnsi="仿宋" w:eastAsia="仿宋" w:cs="仿宋"/>
          <w:sz w:val="32"/>
          <w:szCs w:val="32"/>
          <w:lang w:eastAsia="zh-CN"/>
        </w:rPr>
        <w:t>东、</w:t>
      </w:r>
      <w:bookmarkStart w:id="4" w:name="_GoBack"/>
      <w:bookmarkEnd w:id="4"/>
      <w:r>
        <w:rPr>
          <w:rFonts w:hint="eastAsia" w:ascii="仿宋" w:hAnsi="仿宋" w:eastAsia="仿宋" w:cs="仿宋"/>
          <w:sz w:val="32"/>
          <w:szCs w:val="32"/>
        </w:rPr>
        <w:t>南、北三个校区</w:t>
      </w:r>
      <w:r>
        <w:rPr>
          <w:rFonts w:hint="eastAsia" w:ascii="仿宋" w:hAnsi="仿宋" w:eastAsia="仿宋" w:cs="仿宋"/>
          <w:sz w:val="32"/>
          <w:szCs w:val="32"/>
          <w:lang w:val="en-US" w:eastAsia="zh-CN"/>
        </w:rPr>
        <w:t>,在</w:t>
      </w:r>
      <w:r>
        <w:rPr>
          <w:rFonts w:hint="eastAsia" w:ascii="仿宋" w:hAnsi="仿宋" w:eastAsia="仿宋" w:cs="仿宋"/>
          <w:sz w:val="32"/>
          <w:szCs w:val="32"/>
        </w:rPr>
        <w:t>建新校区293.34亩，计划2024年全面投入使用。东、南校区承担中职教育教学工作，北校区承担成人教育及各类职业培训工作。现为国家级中等职业教育改革与发展示范学校，安徽省中等职业特色示范校。近三年，学校办学成果丰硕，技能大赛屡获佳绩，全国技能大赛获2银3铜，省技能大赛中职组一等奖数、奖牌数、总分在阜阳市名列前茅；省级质量提升工程25个项目全部通过验收；首批1+X证书制度试点校榜上有名。先后被评为“国家中等职业教育改革发展示范校</w:t>
      </w:r>
      <w:r>
        <w:rPr>
          <w:rFonts w:hint="eastAsia" w:ascii="仿宋" w:hAnsi="仿宋" w:eastAsia="仿宋" w:cs="仿宋"/>
          <w:sz w:val="32"/>
          <w:szCs w:val="32"/>
          <w:lang w:eastAsia="zh-CN"/>
        </w:rPr>
        <w:t>”</w:t>
      </w:r>
      <w:r>
        <w:rPr>
          <w:rFonts w:hint="eastAsia" w:ascii="仿宋" w:hAnsi="仿宋" w:eastAsia="仿宋" w:cs="仿宋"/>
          <w:sz w:val="32"/>
          <w:szCs w:val="32"/>
        </w:rPr>
        <w:t>“国家中等职业学校数字化校园建设实验校”首批安徽省“智慧校园建设试点学校”“全国中等职业学校德育先进集体”“全国绿化模范单位”“全国国防教育特色学校”“全国青少年普法先进单位”“教育部-全国网络学习空间应用普及优秀学校”“全省中等职业学校德育和校园文化建设工作先进集体”，第六、九、十届、十二届“安徽省文明单位”，第五、六、七、八、九、十届“阜阳市文明单位”，2022年入选安徽省“三全育人”典型学校培育建设项目。</w:t>
      </w:r>
    </w:p>
    <w:p>
      <w:p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2资源投入</w:t>
      </w:r>
      <w:r>
        <w:rPr>
          <w:rFonts w:hint="eastAsia" w:ascii="仿宋" w:hAnsi="仿宋" w:eastAsia="仿宋" w:cs="仿宋"/>
          <w:sz w:val="32"/>
          <w:szCs w:val="32"/>
          <w:lang w:val="en-US" w:eastAsia="zh-CN"/>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校园占地面积549.94亩</w:t>
      </w:r>
      <w:r>
        <w:rPr>
          <w:rFonts w:hint="eastAsia" w:ascii="仿宋" w:hAnsi="仿宋" w:eastAsia="仿宋" w:cs="仿宋"/>
          <w:sz w:val="32"/>
          <w:szCs w:val="32"/>
          <w:lang w:val="en-US" w:eastAsia="zh-CN"/>
        </w:rPr>
        <w:t>,</w:t>
      </w:r>
      <w:r>
        <w:rPr>
          <w:rFonts w:hint="eastAsia" w:ascii="仿宋" w:hAnsi="仿宋" w:eastAsia="仿宋" w:cs="仿宋"/>
          <w:sz w:val="32"/>
          <w:szCs w:val="32"/>
        </w:rPr>
        <w:t>现在使用的东、南、北三个校区占地256.6亩，在建新校区293.34亩，计划2024年全面投入使用。校舍建筑面积12.16万平方米</w:t>
      </w:r>
      <w:r>
        <w:rPr>
          <w:rFonts w:hint="eastAsia" w:ascii="仿宋" w:hAnsi="仿宋" w:eastAsia="仿宋" w:cs="仿宋"/>
          <w:sz w:val="32"/>
          <w:szCs w:val="32"/>
          <w:lang w:val="en-US" w:eastAsia="zh-CN"/>
        </w:rPr>
        <w:t>(</w:t>
      </w:r>
      <w:r>
        <w:rPr>
          <w:rFonts w:hint="eastAsia" w:ascii="仿宋" w:hAnsi="仿宋" w:eastAsia="仿宋" w:cs="仿宋"/>
          <w:sz w:val="32"/>
          <w:szCs w:val="32"/>
        </w:rPr>
        <w:t>不包含在建新校区15万平方米）。校园布局合理、功能完善、环境优美、设施齐全，职业教育特色明显。</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学校现有10个省级示范实训基地，实习实训场地布局开阔、设施设备先进，实习实训工位数4132个，满足专业实训教学需要，每个专业均拥有3个以上稳定的校外实训基地。学校还是“教育部财税专业技能等级考试培训中心” “安徽省会计电算化培训基地”“国家职业技能鉴定站” “1+X证书考核站点”。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截止2022年8月底，学校现有仪器设备总值5264.47万元，生均10274.13元。校图书馆纸质藏书17.19万册,电子图书20万册，生均55.66册，报刊杂志132种。教师和学生阅览室座位分别为120和780，教师阅览室座位占比39.34%，学生阅览室座位占比15.2%，为学生学技能、提素养提供了较好的环境。</w:t>
      </w:r>
    </w:p>
    <w:p>
      <w:pPr>
        <w:snapToGrid w:val="0"/>
        <w:spacing w:line="276" w:lineRule="auto"/>
        <w:jc w:val="center"/>
        <w:rPr>
          <w:rStyle w:val="49"/>
          <w:rFonts w:hint="eastAsia" w:ascii="仿宋" w:hAnsi="仿宋" w:eastAsia="仿宋" w:cs="仿宋"/>
          <w:b/>
          <w:kern w:val="0"/>
          <w:sz w:val="28"/>
          <w:szCs w:val="28"/>
        </w:rPr>
      </w:pPr>
      <w:r>
        <w:rPr>
          <w:rStyle w:val="49"/>
          <w:rFonts w:hint="eastAsia" w:ascii="仿宋" w:hAnsi="仿宋" w:eastAsia="仿宋" w:cs="仿宋"/>
          <w:b/>
          <w:kern w:val="0"/>
          <w:sz w:val="28"/>
          <w:szCs w:val="28"/>
        </w:rPr>
        <w:t>表1</w:t>
      </w:r>
      <w:r>
        <w:rPr>
          <w:rStyle w:val="49"/>
          <w:rFonts w:hint="eastAsia" w:ascii="仿宋" w:hAnsi="仿宋" w:eastAsia="仿宋" w:cs="仿宋"/>
          <w:b/>
          <w:kern w:val="0"/>
          <w:sz w:val="28"/>
          <w:szCs w:val="28"/>
          <w:lang w:val="en-US" w:eastAsia="zh-CN"/>
        </w:rPr>
        <w:t xml:space="preserve">  </w:t>
      </w:r>
      <w:r>
        <w:rPr>
          <w:rStyle w:val="49"/>
          <w:rFonts w:hint="eastAsia" w:ascii="仿宋" w:hAnsi="仿宋" w:eastAsia="仿宋" w:cs="仿宋"/>
          <w:b/>
          <w:kern w:val="0"/>
          <w:sz w:val="28"/>
          <w:szCs w:val="28"/>
        </w:rPr>
        <w:t>近两学年</w:t>
      </w:r>
      <w:r>
        <w:rPr>
          <w:rStyle w:val="49"/>
          <w:rFonts w:hint="eastAsia" w:ascii="仿宋" w:hAnsi="仿宋" w:eastAsia="仿宋" w:cs="仿宋"/>
          <w:b/>
          <w:kern w:val="0"/>
          <w:sz w:val="28"/>
          <w:szCs w:val="28"/>
          <w:lang w:val="en-US" w:eastAsia="zh-CN"/>
        </w:rPr>
        <w:t>中等职业</w:t>
      </w:r>
      <w:r>
        <w:rPr>
          <w:rStyle w:val="49"/>
          <w:rFonts w:hint="eastAsia" w:ascii="仿宋" w:hAnsi="仿宋" w:eastAsia="仿宋" w:cs="仿宋"/>
          <w:b/>
          <w:kern w:val="0"/>
          <w:sz w:val="28"/>
          <w:szCs w:val="28"/>
        </w:rPr>
        <w:t>学校生均</w:t>
      </w:r>
      <w:r>
        <w:rPr>
          <w:rStyle w:val="49"/>
          <w:rFonts w:hint="eastAsia" w:ascii="仿宋" w:hAnsi="仿宋" w:eastAsia="仿宋" w:cs="仿宋"/>
          <w:b/>
          <w:kern w:val="0"/>
          <w:sz w:val="28"/>
          <w:szCs w:val="28"/>
          <w:lang w:val="en-US" w:eastAsia="zh-CN"/>
        </w:rPr>
        <w:t>资源投入</w:t>
      </w:r>
      <w:r>
        <w:rPr>
          <w:rStyle w:val="49"/>
          <w:rFonts w:hint="eastAsia" w:ascii="仿宋" w:hAnsi="仿宋" w:eastAsia="仿宋" w:cs="仿宋"/>
          <w:b/>
          <w:kern w:val="0"/>
          <w:sz w:val="28"/>
          <w:szCs w:val="28"/>
        </w:rPr>
        <w:t>情况一览表</w:t>
      </w:r>
    </w:p>
    <w:tbl>
      <w:tblPr>
        <w:tblStyle w:val="15"/>
        <w:tblpPr w:leftFromText="180" w:rightFromText="180" w:vertAnchor="text" w:horzAnchor="margin" w:tblpXSpec="center" w:tblpY="173"/>
        <w:tblOverlap w:val="never"/>
        <w:tblW w:w="8877" w:type="dxa"/>
        <w:tblInd w:w="-1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0"/>
        <w:gridCol w:w="943"/>
        <w:gridCol w:w="775"/>
        <w:gridCol w:w="814"/>
        <w:gridCol w:w="801"/>
        <w:gridCol w:w="855"/>
        <w:gridCol w:w="774"/>
        <w:gridCol w:w="733"/>
        <w:gridCol w:w="896"/>
        <w:gridCol w:w="624"/>
        <w:gridCol w:w="6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Style w:val="49"/>
                <w:rFonts w:ascii="宋体" w:hAnsi="宋体"/>
                <w:b/>
                <w:bCs/>
                <w:sz w:val="18"/>
                <w:szCs w:val="18"/>
              </w:rPr>
            </w:pPr>
            <w:r>
              <w:rPr>
                <w:rStyle w:val="49"/>
                <w:rFonts w:ascii="Calibri" w:hAnsi="Calibri"/>
                <w:b/>
                <w:bCs/>
                <w:sz w:val="18"/>
                <w:szCs w:val="18"/>
              </w:rPr>
              <w:t>学年度</w:t>
            </w:r>
          </w:p>
        </w:tc>
        <w:tc>
          <w:tcPr>
            <w:tcW w:w="1718"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Style w:val="49"/>
                <w:rFonts w:ascii="Calibri" w:hAnsi="Calibri"/>
                <w:b/>
                <w:bCs/>
                <w:sz w:val="18"/>
                <w:szCs w:val="18"/>
              </w:rPr>
            </w:pPr>
            <w:r>
              <w:rPr>
                <w:rStyle w:val="49"/>
                <w:rFonts w:hint="eastAsia" w:ascii="宋体" w:hAnsi="宋体"/>
                <w:b/>
                <w:bCs/>
                <w:sz w:val="18"/>
                <w:szCs w:val="18"/>
                <w:lang w:val="en-US" w:eastAsia="zh-CN"/>
              </w:rPr>
              <w:t xml:space="preserve"> 校园占地面积（平方米）</w:t>
            </w:r>
          </w:p>
        </w:tc>
        <w:tc>
          <w:tcPr>
            <w:tcW w:w="1615"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Style w:val="49"/>
                <w:rFonts w:hint="default" w:ascii="宋体" w:hAnsi="宋体"/>
                <w:b/>
                <w:bCs/>
                <w:sz w:val="18"/>
                <w:szCs w:val="18"/>
                <w:lang w:val="en-US" w:eastAsia="zh-CN"/>
              </w:rPr>
            </w:pPr>
            <w:r>
              <w:rPr>
                <w:rStyle w:val="49"/>
                <w:rFonts w:hint="eastAsia" w:ascii="宋体" w:hAnsi="宋体"/>
                <w:b/>
                <w:bCs/>
                <w:sz w:val="18"/>
                <w:szCs w:val="18"/>
                <w:lang w:val="en-US" w:eastAsia="zh-CN"/>
              </w:rPr>
              <w:t>校舍建筑面积（平方米）</w:t>
            </w:r>
          </w:p>
        </w:tc>
        <w:tc>
          <w:tcPr>
            <w:tcW w:w="1629"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Style w:val="49"/>
                <w:rFonts w:ascii="宋体" w:hAnsi="宋体"/>
                <w:b/>
                <w:bCs/>
                <w:sz w:val="18"/>
                <w:szCs w:val="18"/>
              </w:rPr>
            </w:pPr>
            <w:r>
              <w:rPr>
                <w:rStyle w:val="49"/>
                <w:rFonts w:ascii="宋体" w:hAnsi="宋体"/>
                <w:b/>
                <w:bCs/>
                <w:sz w:val="18"/>
                <w:szCs w:val="18"/>
              </w:rPr>
              <w:t>教学</w:t>
            </w:r>
            <w:r>
              <w:rPr>
                <w:rStyle w:val="49"/>
                <w:rFonts w:hint="eastAsia" w:ascii="宋体" w:hAnsi="宋体"/>
                <w:b/>
                <w:bCs/>
                <w:sz w:val="18"/>
                <w:szCs w:val="18"/>
                <w:lang w:eastAsia="zh-CN"/>
              </w:rPr>
              <w:t>、</w:t>
            </w:r>
            <w:r>
              <w:rPr>
                <w:rStyle w:val="49"/>
                <w:rFonts w:hint="eastAsia" w:ascii="宋体" w:hAnsi="宋体"/>
                <w:b/>
                <w:bCs/>
                <w:sz w:val="18"/>
                <w:szCs w:val="18"/>
                <w:lang w:val="en-US" w:eastAsia="zh-CN"/>
              </w:rPr>
              <w:t>实习</w:t>
            </w:r>
            <w:r>
              <w:rPr>
                <w:rStyle w:val="49"/>
                <w:rFonts w:ascii="宋体" w:hAnsi="宋体"/>
                <w:b/>
                <w:bCs/>
                <w:sz w:val="18"/>
                <w:szCs w:val="18"/>
              </w:rPr>
              <w:t>仪器设备值 （</w:t>
            </w:r>
            <w:r>
              <w:rPr>
                <w:rStyle w:val="49"/>
                <w:rFonts w:hint="eastAsia" w:ascii="宋体" w:hAnsi="宋体"/>
                <w:b/>
                <w:bCs/>
                <w:sz w:val="18"/>
                <w:szCs w:val="18"/>
                <w:lang w:val="en-US" w:eastAsia="zh-CN"/>
              </w:rPr>
              <w:t>万</w:t>
            </w:r>
            <w:r>
              <w:rPr>
                <w:rStyle w:val="49"/>
                <w:rFonts w:ascii="宋体" w:hAnsi="宋体"/>
                <w:b/>
                <w:bCs/>
                <w:sz w:val="18"/>
                <w:szCs w:val="18"/>
              </w:rPr>
              <w:t>元）</w:t>
            </w:r>
          </w:p>
        </w:tc>
        <w:tc>
          <w:tcPr>
            <w:tcW w:w="1629"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Style w:val="49"/>
                <w:rFonts w:ascii="宋体" w:hAnsi="宋体"/>
                <w:b/>
                <w:bCs/>
                <w:sz w:val="18"/>
                <w:szCs w:val="18"/>
                <w:highlight w:val="none"/>
              </w:rPr>
            </w:pPr>
            <w:r>
              <w:rPr>
                <w:rStyle w:val="49"/>
                <w:rFonts w:ascii="宋体" w:hAnsi="宋体"/>
                <w:b/>
                <w:bCs/>
                <w:sz w:val="18"/>
                <w:szCs w:val="18"/>
                <w:highlight w:val="none"/>
              </w:rPr>
              <w:t>实训实习工位数（个）</w:t>
            </w:r>
          </w:p>
        </w:tc>
        <w:tc>
          <w:tcPr>
            <w:tcW w:w="1296"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Style w:val="49"/>
                <w:rFonts w:ascii="宋体" w:hAnsi="宋体"/>
                <w:b/>
                <w:bCs/>
                <w:sz w:val="18"/>
                <w:szCs w:val="18"/>
              </w:rPr>
            </w:pPr>
            <w:r>
              <w:rPr>
                <w:rStyle w:val="49"/>
                <w:rFonts w:ascii="宋体" w:hAnsi="宋体"/>
                <w:b/>
                <w:bCs/>
                <w:sz w:val="18"/>
                <w:szCs w:val="18"/>
              </w:rPr>
              <w:t>纸质图书数（册）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Style w:val="49"/>
                <w:b/>
                <w:bCs/>
                <w:sz w:val="18"/>
                <w:szCs w:val="18"/>
              </w:rPr>
            </w:pPr>
          </w:p>
        </w:tc>
        <w:tc>
          <w:tcPr>
            <w:tcW w:w="94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ascii="宋体" w:hAnsi="宋体" w:eastAsia="宋体" w:cs="Times New Roman"/>
                <w:b/>
                <w:bCs/>
                <w:kern w:val="2"/>
                <w:sz w:val="18"/>
                <w:szCs w:val="18"/>
                <w:lang w:val="en-US" w:eastAsia="zh-CN" w:bidi="ar-SA"/>
              </w:rPr>
            </w:pPr>
            <w:r>
              <w:rPr>
                <w:rStyle w:val="49"/>
                <w:rFonts w:ascii="宋体" w:hAnsi="宋体"/>
                <w:b/>
                <w:bCs/>
                <w:sz w:val="18"/>
                <w:szCs w:val="18"/>
              </w:rPr>
              <w:t>总数</w:t>
            </w:r>
          </w:p>
        </w:tc>
        <w:tc>
          <w:tcPr>
            <w:tcW w:w="77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ascii="宋体" w:hAnsi="宋体" w:eastAsia="宋体" w:cs="Times New Roman"/>
                <w:b/>
                <w:bCs/>
                <w:kern w:val="2"/>
                <w:sz w:val="18"/>
                <w:szCs w:val="18"/>
                <w:lang w:val="en-US" w:eastAsia="zh-CN" w:bidi="ar-SA"/>
              </w:rPr>
            </w:pPr>
            <w:r>
              <w:rPr>
                <w:rStyle w:val="49"/>
                <w:rFonts w:ascii="宋体" w:hAnsi="宋体"/>
                <w:b/>
                <w:bCs/>
                <w:sz w:val="18"/>
                <w:szCs w:val="18"/>
              </w:rPr>
              <w:t>生均</w:t>
            </w:r>
          </w:p>
        </w:tc>
        <w:tc>
          <w:tcPr>
            <w:tcW w:w="81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ascii="宋体" w:hAnsi="宋体" w:eastAsia="宋体" w:cs="Times New Roman"/>
                <w:b/>
                <w:bCs/>
                <w:kern w:val="2"/>
                <w:sz w:val="18"/>
                <w:szCs w:val="18"/>
                <w:lang w:val="en-US" w:eastAsia="zh-CN" w:bidi="ar-SA"/>
              </w:rPr>
            </w:pPr>
            <w:r>
              <w:rPr>
                <w:rStyle w:val="49"/>
                <w:rFonts w:ascii="宋体" w:hAnsi="宋体"/>
                <w:b/>
                <w:bCs/>
                <w:sz w:val="18"/>
                <w:szCs w:val="18"/>
              </w:rPr>
              <w:t>总数</w:t>
            </w:r>
          </w:p>
        </w:tc>
        <w:tc>
          <w:tcPr>
            <w:tcW w:w="801"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ascii="宋体" w:hAnsi="宋体" w:eastAsia="宋体" w:cs="Times New Roman"/>
                <w:b/>
                <w:bCs/>
                <w:kern w:val="2"/>
                <w:sz w:val="18"/>
                <w:szCs w:val="18"/>
                <w:lang w:val="en-US" w:eastAsia="zh-CN" w:bidi="ar-SA"/>
              </w:rPr>
            </w:pPr>
            <w:r>
              <w:rPr>
                <w:rStyle w:val="49"/>
                <w:rFonts w:ascii="宋体" w:hAnsi="宋体"/>
                <w:b/>
                <w:bCs/>
                <w:sz w:val="18"/>
                <w:szCs w:val="18"/>
              </w:rPr>
              <w:t>生均</w:t>
            </w:r>
          </w:p>
        </w:tc>
        <w:tc>
          <w:tcPr>
            <w:tcW w:w="85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Style w:val="49"/>
                <w:rFonts w:ascii="宋体" w:hAnsi="宋体"/>
                <w:b/>
                <w:bCs/>
                <w:sz w:val="18"/>
                <w:szCs w:val="18"/>
              </w:rPr>
            </w:pPr>
            <w:r>
              <w:rPr>
                <w:rStyle w:val="49"/>
                <w:rFonts w:ascii="宋体" w:hAnsi="宋体"/>
                <w:b/>
                <w:bCs/>
                <w:sz w:val="18"/>
                <w:szCs w:val="18"/>
              </w:rPr>
              <w:t>总数</w:t>
            </w:r>
          </w:p>
        </w:tc>
        <w:tc>
          <w:tcPr>
            <w:tcW w:w="77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Style w:val="49"/>
                <w:rFonts w:ascii="宋体" w:hAnsi="宋体"/>
                <w:b/>
                <w:bCs/>
                <w:sz w:val="18"/>
                <w:szCs w:val="18"/>
              </w:rPr>
            </w:pPr>
            <w:r>
              <w:rPr>
                <w:rStyle w:val="49"/>
                <w:rFonts w:ascii="宋体" w:hAnsi="宋体"/>
                <w:b/>
                <w:bCs/>
                <w:sz w:val="18"/>
                <w:szCs w:val="18"/>
              </w:rPr>
              <w:t>生均</w:t>
            </w:r>
          </w:p>
        </w:tc>
        <w:tc>
          <w:tcPr>
            <w:tcW w:w="73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Style w:val="49"/>
                <w:rFonts w:ascii="宋体" w:hAnsi="宋体"/>
                <w:b/>
                <w:bCs/>
                <w:sz w:val="18"/>
                <w:szCs w:val="18"/>
                <w:highlight w:val="none"/>
              </w:rPr>
            </w:pPr>
            <w:r>
              <w:rPr>
                <w:rStyle w:val="49"/>
                <w:rFonts w:ascii="宋体" w:hAnsi="宋体"/>
                <w:b/>
                <w:bCs/>
                <w:sz w:val="18"/>
                <w:szCs w:val="18"/>
                <w:highlight w:val="none"/>
              </w:rPr>
              <w:t>总数</w:t>
            </w:r>
          </w:p>
        </w:tc>
        <w:tc>
          <w:tcPr>
            <w:tcW w:w="89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Style w:val="49"/>
                <w:rFonts w:ascii="宋体" w:hAnsi="宋体"/>
                <w:b/>
                <w:bCs/>
                <w:sz w:val="18"/>
                <w:szCs w:val="18"/>
                <w:highlight w:val="none"/>
              </w:rPr>
            </w:pPr>
            <w:r>
              <w:rPr>
                <w:rStyle w:val="49"/>
                <w:rFonts w:ascii="宋体" w:hAnsi="宋体"/>
                <w:b/>
                <w:bCs/>
                <w:sz w:val="18"/>
                <w:szCs w:val="18"/>
                <w:highlight w:val="none"/>
              </w:rPr>
              <w:t>生均</w:t>
            </w:r>
          </w:p>
        </w:tc>
        <w:tc>
          <w:tcPr>
            <w:tcW w:w="62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Style w:val="49"/>
                <w:rFonts w:ascii="宋体" w:hAnsi="宋体"/>
                <w:b/>
                <w:bCs/>
                <w:sz w:val="18"/>
                <w:szCs w:val="18"/>
              </w:rPr>
            </w:pPr>
            <w:r>
              <w:rPr>
                <w:rStyle w:val="49"/>
                <w:rFonts w:ascii="宋体" w:hAnsi="宋体"/>
                <w:b/>
                <w:bCs/>
                <w:sz w:val="18"/>
                <w:szCs w:val="18"/>
              </w:rPr>
              <w:t>总数</w:t>
            </w:r>
          </w:p>
        </w:tc>
        <w:tc>
          <w:tcPr>
            <w:tcW w:w="672"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Style w:val="49"/>
                <w:rFonts w:ascii="宋体" w:hAnsi="宋体"/>
                <w:b/>
                <w:bCs/>
                <w:sz w:val="18"/>
                <w:szCs w:val="18"/>
              </w:rPr>
            </w:pPr>
            <w:r>
              <w:rPr>
                <w:rStyle w:val="49"/>
                <w:rFonts w:ascii="宋体" w:hAnsi="宋体"/>
                <w:b/>
                <w:bCs/>
                <w:sz w:val="18"/>
                <w:szCs w:val="18"/>
              </w:rPr>
              <w:t>生均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exact"/>
        </w:trPr>
        <w:tc>
          <w:tcPr>
            <w:tcW w:w="990"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49"/>
                <w:rFonts w:hint="default" w:ascii="仿宋" w:hAnsi="仿宋" w:eastAsia="仿宋"/>
                <w:b/>
                <w:sz w:val="18"/>
                <w:szCs w:val="18"/>
                <w:lang w:val="en-US" w:eastAsia="zh-CN"/>
              </w:rPr>
            </w:pPr>
            <w:r>
              <w:rPr>
                <w:rStyle w:val="49"/>
                <w:rFonts w:ascii="仿宋" w:hAnsi="仿宋" w:eastAsia="仿宋"/>
                <w:b/>
                <w:sz w:val="18"/>
                <w:szCs w:val="18"/>
              </w:rPr>
              <w:t>20</w:t>
            </w:r>
            <w:r>
              <w:rPr>
                <w:rStyle w:val="49"/>
                <w:rFonts w:hint="eastAsia" w:ascii="仿宋" w:hAnsi="仿宋" w:eastAsia="仿宋"/>
                <w:b/>
                <w:sz w:val="18"/>
                <w:szCs w:val="18"/>
                <w:lang w:val="en-US" w:eastAsia="zh-CN"/>
              </w:rPr>
              <w:t>20</w:t>
            </w:r>
            <w:r>
              <w:rPr>
                <w:rStyle w:val="49"/>
                <w:rFonts w:ascii="仿宋" w:hAnsi="仿宋" w:eastAsia="仿宋"/>
                <w:b/>
                <w:sz w:val="18"/>
                <w:szCs w:val="18"/>
              </w:rPr>
              <w:t>～20</w:t>
            </w:r>
            <w:r>
              <w:rPr>
                <w:rStyle w:val="49"/>
                <w:rFonts w:hint="eastAsia" w:ascii="仿宋" w:hAnsi="仿宋" w:eastAsia="仿宋"/>
                <w:b/>
                <w:sz w:val="18"/>
                <w:szCs w:val="18"/>
                <w:lang w:val="en-US" w:eastAsia="zh-CN"/>
              </w:rPr>
              <w:t>21</w:t>
            </w:r>
          </w:p>
        </w:tc>
        <w:tc>
          <w:tcPr>
            <w:tcW w:w="94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Style w:val="49"/>
                <w:rFonts w:hint="default" w:ascii="宋体" w:hAnsi="宋体" w:eastAsiaTheme="minorEastAsia" w:cstheme="minorBidi"/>
                <w:szCs w:val="21"/>
                <w:lang w:val="en-US" w:eastAsia="zh-CN"/>
              </w:rPr>
            </w:pPr>
            <w:r>
              <w:rPr>
                <w:rFonts w:hint="eastAsia" w:ascii="宋体" w:hAnsi="宋体" w:cs="宋体"/>
              </w:rPr>
              <w:t>170895.6</w:t>
            </w:r>
          </w:p>
        </w:tc>
        <w:tc>
          <w:tcPr>
            <w:tcW w:w="77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Style w:val="49"/>
                <w:rFonts w:hint="default" w:ascii="宋体" w:hAnsi="宋体" w:eastAsiaTheme="minorEastAsia" w:cstheme="minorBidi"/>
                <w:szCs w:val="21"/>
                <w:lang w:val="en-US" w:eastAsia="zh-CN"/>
              </w:rPr>
            </w:pPr>
            <w:r>
              <w:rPr>
                <w:rStyle w:val="49"/>
                <w:rFonts w:hint="eastAsia" w:ascii="宋体" w:hAnsi="宋体" w:eastAsiaTheme="minorEastAsia" w:cstheme="minorBidi"/>
                <w:szCs w:val="21"/>
                <w:lang w:val="en-US" w:eastAsia="zh-CN"/>
              </w:rPr>
              <w:t>33.4</w:t>
            </w:r>
          </w:p>
        </w:tc>
        <w:tc>
          <w:tcPr>
            <w:tcW w:w="81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Style w:val="49"/>
                <w:rFonts w:hint="default" w:ascii="宋体" w:hAnsi="宋体" w:eastAsiaTheme="minorEastAsia" w:cstheme="minorBidi"/>
                <w:szCs w:val="21"/>
                <w:lang w:val="en-US" w:eastAsia="zh-CN"/>
              </w:rPr>
            </w:pPr>
            <w:r>
              <w:rPr>
                <w:rFonts w:hint="eastAsia" w:ascii="宋体" w:hAnsi="宋体" w:cs="宋体"/>
              </w:rPr>
              <w:t>121600</w:t>
            </w:r>
          </w:p>
        </w:tc>
        <w:tc>
          <w:tcPr>
            <w:tcW w:w="801"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Style w:val="49"/>
                <w:rFonts w:hint="default" w:ascii="宋体" w:hAnsi="宋体" w:eastAsiaTheme="minorEastAsia" w:cstheme="minorBidi"/>
                <w:szCs w:val="21"/>
                <w:lang w:val="en-US" w:eastAsia="zh-CN"/>
              </w:rPr>
            </w:pPr>
            <w:r>
              <w:rPr>
                <w:rStyle w:val="49"/>
                <w:rFonts w:hint="eastAsia" w:ascii="宋体" w:hAnsi="宋体" w:eastAsiaTheme="minorEastAsia" w:cstheme="minorBidi"/>
                <w:szCs w:val="21"/>
                <w:lang w:val="en-US" w:eastAsia="zh-CN"/>
              </w:rPr>
              <w:t>23.8</w:t>
            </w:r>
          </w:p>
        </w:tc>
        <w:tc>
          <w:tcPr>
            <w:tcW w:w="85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Style w:val="49"/>
                <w:rFonts w:hint="default" w:ascii="宋体" w:hAnsi="宋体" w:eastAsiaTheme="minorEastAsia" w:cstheme="minorBidi"/>
                <w:szCs w:val="21"/>
                <w:lang w:val="en-US" w:eastAsia="zh-CN"/>
              </w:rPr>
            </w:pPr>
            <w:r>
              <w:rPr>
                <w:rFonts w:hint="eastAsia" w:ascii="宋体" w:hAnsi="宋体" w:cs="宋体"/>
              </w:rPr>
              <w:t>3264.47</w:t>
            </w:r>
          </w:p>
        </w:tc>
        <w:tc>
          <w:tcPr>
            <w:tcW w:w="77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Style w:val="49"/>
                <w:rFonts w:hint="default" w:ascii="宋体" w:hAnsi="宋体" w:eastAsia="宋体"/>
                <w:szCs w:val="21"/>
                <w:lang w:val="en-US" w:eastAsia="zh-CN"/>
              </w:rPr>
            </w:pPr>
            <w:r>
              <w:rPr>
                <w:rStyle w:val="49"/>
                <w:rFonts w:hint="eastAsia" w:ascii="宋体" w:hAnsi="宋体" w:eastAsia="宋体"/>
                <w:szCs w:val="21"/>
                <w:lang w:val="en-US" w:eastAsia="zh-CN"/>
              </w:rPr>
              <w:t>6704</w:t>
            </w:r>
          </w:p>
        </w:tc>
        <w:tc>
          <w:tcPr>
            <w:tcW w:w="73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Style w:val="49"/>
                <w:rFonts w:hint="default" w:ascii="宋体" w:hAnsi="宋体" w:eastAsiaTheme="minorEastAsia" w:cstheme="minorBidi"/>
                <w:szCs w:val="21"/>
                <w:lang w:val="en-US" w:eastAsia="zh-CN"/>
              </w:rPr>
            </w:pPr>
            <w:r>
              <w:rPr>
                <w:rStyle w:val="49"/>
                <w:rFonts w:hint="eastAsia" w:ascii="宋体" w:hAnsi="宋体" w:eastAsiaTheme="minorEastAsia" w:cstheme="minorBidi"/>
                <w:szCs w:val="21"/>
                <w:lang w:val="en-US" w:eastAsia="zh-CN"/>
              </w:rPr>
              <w:t>3978</w:t>
            </w:r>
          </w:p>
        </w:tc>
        <w:tc>
          <w:tcPr>
            <w:tcW w:w="89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Style w:val="49"/>
                <w:rFonts w:hint="default" w:ascii="宋体" w:hAnsi="宋体" w:eastAsiaTheme="minorEastAsia" w:cstheme="minorBidi"/>
                <w:szCs w:val="21"/>
                <w:lang w:val="en-US" w:eastAsia="zh-CN"/>
              </w:rPr>
            </w:pPr>
            <w:r>
              <w:rPr>
                <w:rStyle w:val="49"/>
                <w:rFonts w:hint="eastAsia" w:ascii="宋体" w:hAnsi="宋体" w:eastAsiaTheme="minorEastAsia" w:cstheme="minorBidi"/>
                <w:szCs w:val="21"/>
                <w:lang w:val="en-US" w:eastAsia="zh-CN"/>
              </w:rPr>
              <w:t>0.78</w:t>
            </w:r>
          </w:p>
        </w:tc>
        <w:tc>
          <w:tcPr>
            <w:tcW w:w="62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Style w:val="49"/>
                <w:rFonts w:hint="eastAsia" w:ascii="宋体" w:hAnsi="宋体" w:eastAsia="宋体" w:cstheme="minorBidi"/>
                <w:szCs w:val="21"/>
                <w:lang w:val="en-US" w:eastAsia="zh-CN"/>
              </w:rPr>
            </w:pPr>
            <w:r>
              <w:rPr>
                <w:rFonts w:hint="eastAsia" w:ascii="宋体" w:hAnsi="宋体" w:cs="宋体"/>
              </w:rPr>
              <w:t>15.4</w:t>
            </w:r>
            <w:r>
              <w:rPr>
                <w:rFonts w:hint="eastAsia" w:ascii="宋体" w:hAnsi="宋体" w:cs="宋体"/>
                <w:lang w:val="en-US" w:eastAsia="zh-CN"/>
              </w:rPr>
              <w:t>万</w:t>
            </w:r>
          </w:p>
        </w:tc>
        <w:tc>
          <w:tcPr>
            <w:tcW w:w="672"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Style w:val="49"/>
                <w:rFonts w:hint="default" w:ascii="宋体" w:hAnsi="宋体" w:eastAsia="宋体"/>
                <w:szCs w:val="21"/>
                <w:lang w:val="en-US" w:eastAsia="zh-CN"/>
              </w:rPr>
            </w:pPr>
            <w:r>
              <w:rPr>
                <w:rStyle w:val="49"/>
                <w:rFonts w:hint="eastAsia" w:ascii="宋体" w:hAnsi="宋体" w:eastAsia="宋体"/>
                <w:szCs w:val="21"/>
                <w:lang w:val="en-US" w:eastAsia="zh-CN"/>
              </w:rPr>
              <w:t>30.1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exact"/>
        </w:trPr>
        <w:tc>
          <w:tcPr>
            <w:tcW w:w="990"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49"/>
                <w:rFonts w:hint="eastAsia" w:ascii="仿宋" w:hAnsi="仿宋" w:eastAsia="仿宋"/>
                <w:b/>
                <w:sz w:val="18"/>
                <w:szCs w:val="18"/>
                <w:lang w:eastAsia="zh-CN"/>
              </w:rPr>
            </w:pPr>
            <w:r>
              <w:rPr>
                <w:rStyle w:val="49"/>
                <w:rFonts w:ascii="仿宋" w:hAnsi="仿宋" w:eastAsia="仿宋"/>
                <w:b/>
                <w:sz w:val="18"/>
                <w:szCs w:val="18"/>
              </w:rPr>
              <w:t>20</w:t>
            </w:r>
            <w:r>
              <w:rPr>
                <w:rStyle w:val="49"/>
                <w:rFonts w:hint="eastAsia" w:ascii="仿宋" w:hAnsi="仿宋" w:eastAsia="仿宋"/>
                <w:b/>
                <w:sz w:val="18"/>
                <w:szCs w:val="18"/>
                <w:lang w:val="en-US" w:eastAsia="zh-CN"/>
              </w:rPr>
              <w:t>21</w:t>
            </w:r>
            <w:r>
              <w:rPr>
                <w:rStyle w:val="49"/>
                <w:rFonts w:ascii="仿宋" w:hAnsi="仿宋" w:eastAsia="仿宋"/>
                <w:b/>
                <w:sz w:val="18"/>
                <w:szCs w:val="18"/>
              </w:rPr>
              <w:t>～202</w:t>
            </w:r>
            <w:r>
              <w:rPr>
                <w:rStyle w:val="49"/>
                <w:rFonts w:hint="eastAsia" w:ascii="仿宋" w:hAnsi="仿宋" w:eastAsia="仿宋"/>
                <w:b/>
                <w:sz w:val="18"/>
                <w:szCs w:val="18"/>
                <w:lang w:val="en-US" w:eastAsia="zh-CN"/>
              </w:rPr>
              <w:t>2</w:t>
            </w:r>
          </w:p>
        </w:tc>
        <w:tc>
          <w:tcPr>
            <w:tcW w:w="94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Style w:val="49"/>
                <w:rFonts w:hint="default" w:ascii="宋体" w:hAnsi="宋体" w:eastAsiaTheme="minorEastAsia" w:cstheme="minorBidi"/>
                <w:szCs w:val="21"/>
                <w:lang w:val="en-US" w:eastAsia="zh-CN"/>
              </w:rPr>
            </w:pPr>
            <w:r>
              <w:rPr>
                <w:rFonts w:hint="eastAsia" w:ascii="宋体" w:hAnsi="宋体" w:cs="宋体"/>
              </w:rPr>
              <w:t>366260.04</w:t>
            </w:r>
          </w:p>
        </w:tc>
        <w:tc>
          <w:tcPr>
            <w:tcW w:w="77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Style w:val="49"/>
                <w:rFonts w:hint="default" w:ascii="宋体" w:hAnsi="宋体" w:eastAsiaTheme="minorEastAsia" w:cstheme="minorBidi"/>
                <w:szCs w:val="21"/>
                <w:lang w:val="en-US" w:eastAsia="zh-CN"/>
              </w:rPr>
            </w:pPr>
            <w:r>
              <w:rPr>
                <w:rStyle w:val="49"/>
                <w:rFonts w:hint="eastAsia" w:ascii="宋体" w:hAnsi="宋体" w:eastAsiaTheme="minorEastAsia" w:cstheme="minorBidi"/>
                <w:szCs w:val="21"/>
                <w:lang w:val="en-US" w:eastAsia="zh-CN"/>
              </w:rPr>
              <w:t>71.5</w:t>
            </w:r>
          </w:p>
        </w:tc>
        <w:tc>
          <w:tcPr>
            <w:tcW w:w="81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Style w:val="49"/>
                <w:rFonts w:hint="default" w:ascii="宋体" w:hAnsi="宋体" w:eastAsiaTheme="minorEastAsia" w:cstheme="minorBidi"/>
                <w:szCs w:val="21"/>
                <w:lang w:val="en-US" w:eastAsia="zh-CN"/>
              </w:rPr>
            </w:pPr>
            <w:r>
              <w:rPr>
                <w:rFonts w:hint="eastAsia" w:ascii="宋体" w:hAnsi="宋体" w:cs="宋体"/>
              </w:rPr>
              <w:t>121600</w:t>
            </w:r>
          </w:p>
        </w:tc>
        <w:tc>
          <w:tcPr>
            <w:tcW w:w="801"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Style w:val="49"/>
                <w:rFonts w:hint="default" w:ascii="宋体" w:hAnsi="宋体" w:eastAsiaTheme="minorEastAsia" w:cstheme="minorBidi"/>
                <w:szCs w:val="21"/>
                <w:lang w:val="en-US" w:eastAsia="zh-CN"/>
              </w:rPr>
            </w:pPr>
            <w:r>
              <w:rPr>
                <w:rStyle w:val="49"/>
                <w:rFonts w:hint="eastAsia" w:ascii="宋体" w:hAnsi="宋体" w:eastAsiaTheme="minorEastAsia" w:cstheme="minorBidi"/>
                <w:szCs w:val="21"/>
                <w:lang w:val="en-US" w:eastAsia="zh-CN"/>
              </w:rPr>
              <w:t>23.7</w:t>
            </w:r>
          </w:p>
        </w:tc>
        <w:tc>
          <w:tcPr>
            <w:tcW w:w="855"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Style w:val="49"/>
                <w:rFonts w:hint="default" w:ascii="宋体" w:hAnsi="宋体" w:eastAsiaTheme="minorEastAsia" w:cstheme="minorBidi"/>
                <w:szCs w:val="21"/>
                <w:lang w:val="en-US" w:eastAsia="zh-CN"/>
              </w:rPr>
            </w:pPr>
            <w:r>
              <w:rPr>
                <w:rFonts w:hint="eastAsia" w:ascii="宋体" w:hAnsi="宋体" w:cs="宋体"/>
              </w:rPr>
              <w:t>5264.47</w:t>
            </w:r>
          </w:p>
        </w:tc>
        <w:tc>
          <w:tcPr>
            <w:tcW w:w="77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Style w:val="49"/>
                <w:rFonts w:hint="default" w:ascii="宋体" w:hAnsi="宋体" w:eastAsia="宋体"/>
                <w:szCs w:val="21"/>
                <w:lang w:val="en-US" w:eastAsia="zh-CN"/>
              </w:rPr>
            </w:pPr>
            <w:r>
              <w:rPr>
                <w:rStyle w:val="49"/>
                <w:rFonts w:hint="eastAsia" w:ascii="宋体" w:hAnsi="宋体" w:eastAsia="宋体"/>
                <w:szCs w:val="21"/>
                <w:lang w:val="en-US" w:eastAsia="zh-CN"/>
              </w:rPr>
              <w:t>10274</w:t>
            </w:r>
          </w:p>
        </w:tc>
        <w:tc>
          <w:tcPr>
            <w:tcW w:w="733"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Style w:val="49"/>
                <w:rFonts w:hint="default" w:ascii="宋体" w:hAnsi="宋体" w:eastAsia="宋体"/>
                <w:szCs w:val="21"/>
                <w:highlight w:val="none"/>
                <w:lang w:val="en-US" w:eastAsia="zh-CN"/>
              </w:rPr>
            </w:pPr>
            <w:r>
              <w:rPr>
                <w:rStyle w:val="49"/>
                <w:rFonts w:hint="eastAsia" w:ascii="宋体" w:hAnsi="宋体" w:eastAsia="宋体"/>
                <w:szCs w:val="21"/>
                <w:highlight w:val="none"/>
                <w:lang w:val="en-US" w:eastAsia="zh-CN"/>
              </w:rPr>
              <w:t>4132</w:t>
            </w:r>
          </w:p>
        </w:tc>
        <w:tc>
          <w:tcPr>
            <w:tcW w:w="89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Style w:val="49"/>
                <w:rFonts w:hint="default" w:ascii="宋体" w:hAnsi="宋体" w:eastAsia="宋体"/>
                <w:szCs w:val="21"/>
                <w:highlight w:val="none"/>
                <w:lang w:val="en-US" w:eastAsia="zh-CN"/>
              </w:rPr>
            </w:pPr>
            <w:r>
              <w:rPr>
                <w:rStyle w:val="49"/>
                <w:rFonts w:hint="eastAsia" w:ascii="宋体" w:hAnsi="宋体" w:eastAsia="宋体"/>
                <w:szCs w:val="21"/>
                <w:highlight w:val="none"/>
                <w:lang w:val="en-US" w:eastAsia="zh-CN"/>
              </w:rPr>
              <w:t>0.81</w:t>
            </w:r>
          </w:p>
        </w:tc>
        <w:tc>
          <w:tcPr>
            <w:tcW w:w="624"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Style w:val="49"/>
                <w:rFonts w:hint="eastAsia" w:ascii="宋体" w:hAnsi="宋体" w:eastAsia="宋体"/>
                <w:szCs w:val="21"/>
                <w:lang w:val="en-US" w:eastAsia="zh-CN"/>
              </w:rPr>
            </w:pPr>
            <w:r>
              <w:rPr>
                <w:rFonts w:hint="eastAsia" w:ascii="宋体" w:hAnsi="宋体" w:cs="宋体"/>
              </w:rPr>
              <w:t>17.19</w:t>
            </w:r>
            <w:r>
              <w:rPr>
                <w:rFonts w:hint="eastAsia" w:ascii="宋体" w:hAnsi="宋体" w:cs="宋体"/>
                <w:lang w:val="en-US" w:eastAsia="zh-CN"/>
              </w:rPr>
              <w:t>万</w:t>
            </w:r>
          </w:p>
        </w:tc>
        <w:tc>
          <w:tcPr>
            <w:tcW w:w="672"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Style w:val="49"/>
                <w:rFonts w:hint="default" w:ascii="宋体" w:hAnsi="宋体" w:eastAsia="宋体"/>
                <w:szCs w:val="21"/>
                <w:lang w:val="en-US" w:eastAsia="zh-CN"/>
              </w:rPr>
            </w:pPr>
            <w:r>
              <w:rPr>
                <w:rStyle w:val="49"/>
                <w:rFonts w:hint="eastAsia" w:ascii="宋体" w:hAnsi="宋体" w:eastAsia="宋体"/>
                <w:szCs w:val="21"/>
                <w:lang w:val="en-US" w:eastAsia="zh-CN"/>
              </w:rPr>
              <w:t>33.5</w:t>
            </w:r>
          </w:p>
        </w:tc>
      </w:tr>
    </w:tbl>
    <w:p>
      <w:pPr>
        <w:spacing w:line="360" w:lineRule="auto"/>
        <w:ind w:firstLine="354" w:firstLineChars="147"/>
        <w:rPr>
          <w:rFonts w:hint="eastAsia" w:ascii="宋体" w:hAnsi="宋体" w:eastAsia="宋体" w:cs="宋体"/>
          <w:b/>
          <w:sz w:val="24"/>
          <w:szCs w:val="24"/>
        </w:rPr>
      </w:pPr>
    </w:p>
    <w:p>
      <w:pPr>
        <w:spacing w:line="360" w:lineRule="auto"/>
        <w:ind w:firstLine="793" w:firstLineChars="247"/>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二、学生发展质量</w:t>
      </w:r>
    </w:p>
    <w:p>
      <w:pPr>
        <w:spacing w:line="360" w:lineRule="auto"/>
        <w:ind w:firstLine="472" w:firstLineChars="147"/>
        <w:rPr>
          <w:rFonts w:hint="eastAsia" w:ascii="仿宋" w:hAnsi="仿宋" w:eastAsia="仿宋" w:cs="仿宋"/>
          <w:b/>
          <w:sz w:val="32"/>
          <w:szCs w:val="32"/>
          <w:lang w:val="en-US" w:eastAsia="zh-CN"/>
        </w:rPr>
      </w:pPr>
      <w:r>
        <w:rPr>
          <w:rFonts w:hint="eastAsia" w:ascii="仿宋" w:hAnsi="仿宋" w:eastAsia="仿宋" w:cs="仿宋"/>
          <w:b/>
          <w:sz w:val="32"/>
          <w:szCs w:val="32"/>
        </w:rPr>
        <w:t xml:space="preserve"> </w:t>
      </w:r>
      <w:r>
        <w:rPr>
          <w:rFonts w:hint="eastAsia" w:ascii="仿宋" w:hAnsi="仿宋" w:eastAsia="仿宋" w:cs="仿宋"/>
          <w:b/>
          <w:sz w:val="32"/>
          <w:szCs w:val="32"/>
          <w:lang w:val="en-US" w:eastAsia="zh-CN"/>
        </w:rPr>
        <w:t xml:space="preserve"> 1党建引领</w:t>
      </w:r>
    </w:p>
    <w:p>
      <w:pPr>
        <w:keepNext w:val="0"/>
        <w:keepLines w:val="0"/>
        <w:pageBreakBefore w:val="0"/>
        <w:widowControl/>
        <w:shd w:val="clear" w:color="auto" w:fill="FFFFFF"/>
        <w:kinsoku/>
        <w:wordWrap/>
        <w:overflowPunct/>
        <w:topLinePunct w:val="0"/>
        <w:bidi w:val="0"/>
        <w:spacing w:line="360" w:lineRule="auto"/>
        <w:ind w:right="0" w:firstLine="645"/>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学校以党建工作为核心，全面引领学校发展和办学治校各项工作的开展。重点推进了习近平新时代中国特色社会主义思想“三进”（</w:t>
      </w:r>
      <w:r>
        <w:rPr>
          <w:rFonts w:hint="eastAsia" w:ascii="仿宋" w:hAnsi="仿宋" w:eastAsia="仿宋" w:cs="仿宋"/>
          <w:color w:val="222222"/>
          <w:sz w:val="32"/>
          <w:szCs w:val="32"/>
        </w:rPr>
        <w:t xml:space="preserve"> 进教材，进课堂，进头脑）</w:t>
      </w:r>
      <w:r>
        <w:rPr>
          <w:rFonts w:hint="eastAsia" w:ascii="仿宋" w:hAnsi="仿宋" w:eastAsia="仿宋" w:cs="仿宋"/>
          <w:color w:val="000000"/>
          <w:sz w:val="32"/>
          <w:szCs w:val="32"/>
        </w:rPr>
        <w:t>工程、基层党组织标准化建设工程、学习型党组织建设工程，形成了党建工作新机制、思想教育新格局和基层党组织建设新模式。</w:t>
      </w:r>
    </w:p>
    <w:p>
      <w:pPr>
        <w:keepNext w:val="0"/>
        <w:keepLines w:val="0"/>
        <w:pageBreakBefore w:val="0"/>
        <w:kinsoku/>
        <w:wordWrap/>
        <w:overflowPunct/>
        <w:topLinePunct w:val="0"/>
        <w:bidi w:val="0"/>
        <w:spacing w:line="360" w:lineRule="auto"/>
        <w:ind w:right="0"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党建带团建、团建促党建”为抓手，推动党团基层组织建设相互促进，共同发展</w:t>
      </w:r>
      <w:r>
        <w:rPr>
          <w:rFonts w:hint="eastAsia" w:ascii="仿宋" w:hAnsi="仿宋" w:eastAsia="仿宋" w:cs="仿宋"/>
          <w:color w:val="000000"/>
          <w:sz w:val="32"/>
          <w:szCs w:val="32"/>
          <w:lang w:eastAsia="zh-CN"/>
        </w:rPr>
        <w:t>。</w:t>
      </w:r>
    </w:p>
    <w:p>
      <w:pPr>
        <w:keepNext w:val="0"/>
        <w:keepLines w:val="0"/>
        <w:pageBreakBefore w:val="0"/>
        <w:kinsoku/>
        <w:wordWrap/>
        <w:overflowPunct/>
        <w:topLinePunct w:val="0"/>
        <w:bidi w:val="0"/>
        <w:spacing w:line="360" w:lineRule="auto"/>
        <w:ind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定期举行入团宣誓和召开团员青年座谈会，提高团员青年的政治觉悟、理论水平，全面拓展团员青年的综合素质，把团员青年紧紧团结在党组织的身边。制订团青工作计划。围绕团委中心工作，加强团组织建设，持续开展青年大学习、国旗下的微宣讲、微宣讲进班级、党史学习教育、我们的节日等主题教育活动，开展历时两个月的校园文化艺术节系列活动，社团活动丰富多彩，营造了良好的文化氛围,荣获“第三届阜阳市文明校园”称号。在全校大力弘扬奉献友爱互助进步的志愿服务精神，推动志愿服务多元化、制度化、常态化，全力推动“党建带团建、团建促党建”工作落实落细。</w:t>
      </w:r>
    </w:p>
    <w:p>
      <w:pPr>
        <w:keepNext w:val="0"/>
        <w:keepLines w:val="0"/>
        <w:pageBreakBefore w:val="0"/>
        <w:kinsoku/>
        <w:wordWrap/>
        <w:overflowPunct/>
        <w:topLinePunct w:val="0"/>
        <w:bidi w:val="0"/>
        <w:spacing w:line="360" w:lineRule="auto"/>
        <w:ind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强化师德师风建设，落实立德树人的根本任务</w:t>
      </w:r>
    </w:p>
    <w:p>
      <w:pPr>
        <w:keepNext w:val="0"/>
        <w:keepLines w:val="0"/>
        <w:pageBreakBefore w:val="0"/>
        <w:kinsoku/>
        <w:wordWrap/>
        <w:overflowPunct/>
        <w:topLinePunct w:val="0"/>
        <w:bidi w:val="0"/>
        <w:spacing w:line="360" w:lineRule="auto"/>
        <w:ind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学校坚持把师德师风建设摆在教师队伍建设的首要位置，通过开展专题读书班，邀请专家进行政治理论和教育相关政策、法规的学习，多渠道、多层次的开展师德师风建设工作。坚持用新时代中国特色社会主义思想武装教师、教育学生，坚持培育和践行社会主义核心价值观，进一步强化党对学校思想政治工作的全面领导，用新时代中国特色社会主义思想铸魂育人，引导学生增强中国特色社会主义道路自信、理论自信、制度自信、文化自信，厚植爱国主义情怀，把爱国情、强国志、报国行自觉融入坚持和发展中国特色社会主义事业之中。</w:t>
      </w:r>
    </w:p>
    <w:p>
      <w:pPr>
        <w:keepNext w:val="0"/>
        <w:keepLines w:val="0"/>
        <w:pageBreakBefore w:val="0"/>
        <w:kinsoku/>
        <w:wordWrap/>
        <w:overflowPunct/>
        <w:topLinePunct w:val="0"/>
        <w:bidi w:val="0"/>
        <w:spacing w:line="360" w:lineRule="auto"/>
        <w:ind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传承红色基因 推深做实党史学习教育</w:t>
      </w:r>
    </w:p>
    <w:p>
      <w:pPr>
        <w:keepNext w:val="0"/>
        <w:keepLines w:val="0"/>
        <w:pageBreakBefore w:val="0"/>
        <w:kinsoku/>
        <w:wordWrap/>
        <w:overflowPunct/>
        <w:topLinePunct w:val="0"/>
        <w:bidi w:val="0"/>
        <w:spacing w:line="360" w:lineRule="auto"/>
        <w:ind w:righ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组织党员干部和师生赴阜阳市革命烈士纪念馆开展红色革命传统教育暨“清明祭英烈”活动，纪念碑下重温入党誓词，纪念馆内聆听革命英雄事迹，实地感悟党的百年光辉历程。举办党史学习教育专题读书班，搜集整理百年党史中的重大历史事件，设立党史学习展板，在教学楼新建敞开式图书室，身临其境学习党的百年历史。开展“党史微宣讲”、“看电影学党史”优秀影片主题展映活动进校园、“我把祝福献给党”和“我与党旗合张影”影像拍摄等系列活动，让党史学习教育深入群众、深入师生、深入人心。</w:t>
      </w:r>
    </w:p>
    <w:p>
      <w:pPr>
        <w:keepNext w:val="0"/>
        <w:keepLines w:val="0"/>
        <w:pageBreakBefore w:val="0"/>
        <w:kinsoku/>
        <w:wordWrap/>
        <w:overflowPunct/>
        <w:topLinePunct w:val="0"/>
        <w:bidi w:val="0"/>
        <w:spacing w:line="360" w:lineRule="auto"/>
        <w:ind w:right="0"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（4）宣传</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二十大</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精神，</w:t>
      </w:r>
      <w:r>
        <w:rPr>
          <w:rFonts w:hint="eastAsia" w:ascii="仿宋" w:hAnsi="仿宋" w:eastAsia="仿宋" w:cs="仿宋"/>
          <w:color w:val="000000"/>
          <w:sz w:val="32"/>
          <w:szCs w:val="32"/>
          <w:lang w:eastAsia="zh-CN"/>
        </w:rPr>
        <w:t xml:space="preserve"> </w:t>
      </w:r>
      <w:r>
        <w:rPr>
          <w:rFonts w:hint="eastAsia" w:ascii="仿宋" w:hAnsi="仿宋" w:eastAsia="仿宋" w:cs="仿宋"/>
          <w:color w:val="000000"/>
          <w:sz w:val="32"/>
          <w:szCs w:val="32"/>
          <w:lang w:val="en-US" w:eastAsia="zh-CN"/>
        </w:rPr>
        <w:t>提升服务学生效能</w:t>
      </w:r>
    </w:p>
    <w:p>
      <w:pPr>
        <w:keepNext w:val="0"/>
        <w:keepLines w:val="0"/>
        <w:pageBreakBefore w:val="0"/>
        <w:kinsoku/>
        <w:wordWrap/>
        <w:overflowPunct/>
        <w:topLinePunct w:val="0"/>
        <w:bidi w:val="0"/>
        <w:spacing w:line="360" w:lineRule="auto"/>
        <w:ind w:right="0"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为贯彻落实党的二十大精神，学校分阶段、</w:t>
      </w:r>
      <w:r>
        <w:rPr>
          <w:rFonts w:hint="eastAsia" w:ascii="仿宋" w:hAnsi="仿宋" w:eastAsia="仿宋" w:cs="仿宋"/>
          <w:color w:val="000000"/>
          <w:sz w:val="32"/>
          <w:szCs w:val="32"/>
          <w:lang w:val="en-US" w:eastAsia="zh-CN"/>
        </w:rPr>
        <w:t>多样式</w:t>
      </w:r>
      <w:r>
        <w:rPr>
          <w:rFonts w:hint="eastAsia" w:ascii="仿宋" w:hAnsi="仿宋" w:eastAsia="仿宋" w:cs="仿宋"/>
          <w:color w:val="000000"/>
          <w:sz w:val="32"/>
          <w:szCs w:val="32"/>
          <w:lang w:eastAsia="zh-CN"/>
        </w:rPr>
        <w:t>举行了宣传贯彻党的二十大精神专题学习会。</w:t>
      </w:r>
      <w:r>
        <w:rPr>
          <w:rFonts w:hint="eastAsia" w:ascii="仿宋" w:hAnsi="仿宋" w:eastAsia="仿宋" w:cs="仿宋"/>
          <w:color w:val="000000"/>
          <w:sz w:val="32"/>
          <w:szCs w:val="32"/>
          <w:lang w:val="en-US" w:eastAsia="zh-CN"/>
        </w:rPr>
        <w:t>教职工层面：学</w:t>
      </w:r>
      <w:r>
        <w:rPr>
          <w:rFonts w:hint="eastAsia" w:ascii="仿宋" w:hAnsi="仿宋" w:eastAsia="仿宋" w:cs="仿宋"/>
          <w:color w:val="000000"/>
          <w:sz w:val="32"/>
          <w:szCs w:val="32"/>
          <w:lang w:eastAsia="zh-CN"/>
        </w:rPr>
        <w:t>校</w:t>
      </w:r>
      <w:r>
        <w:rPr>
          <w:rFonts w:hint="eastAsia" w:ascii="仿宋" w:hAnsi="仿宋" w:eastAsia="仿宋" w:cs="仿宋"/>
          <w:color w:val="000000"/>
          <w:sz w:val="32"/>
          <w:szCs w:val="32"/>
          <w:lang w:val="en-US" w:eastAsia="zh-CN"/>
        </w:rPr>
        <w:t>党</w:t>
      </w:r>
      <w:r>
        <w:rPr>
          <w:rFonts w:hint="eastAsia" w:ascii="仿宋" w:hAnsi="仿宋" w:eastAsia="仿宋" w:cs="仿宋"/>
          <w:color w:val="000000"/>
          <w:sz w:val="32"/>
          <w:szCs w:val="32"/>
          <w:lang w:eastAsia="zh-CN"/>
        </w:rPr>
        <w:t>总</w:t>
      </w:r>
      <w:r>
        <w:rPr>
          <w:rFonts w:hint="eastAsia" w:ascii="仿宋" w:hAnsi="仿宋" w:eastAsia="仿宋" w:cs="仿宋"/>
          <w:color w:val="000000"/>
          <w:sz w:val="32"/>
          <w:szCs w:val="32"/>
          <w:lang w:val="en-US" w:eastAsia="zh-CN"/>
        </w:rPr>
        <w:t>支书记、</w:t>
      </w:r>
      <w:r>
        <w:rPr>
          <w:rFonts w:hint="eastAsia" w:ascii="仿宋" w:hAnsi="仿宋" w:eastAsia="仿宋" w:cs="仿宋"/>
          <w:color w:val="000000"/>
          <w:sz w:val="32"/>
          <w:szCs w:val="32"/>
          <w:lang w:eastAsia="zh-CN"/>
        </w:rPr>
        <w:t>校长</w:t>
      </w:r>
      <w:r>
        <w:rPr>
          <w:rFonts w:hint="eastAsia" w:ascii="仿宋" w:hAnsi="仿宋" w:eastAsia="仿宋" w:cs="仿宋"/>
          <w:color w:val="000000"/>
          <w:sz w:val="32"/>
          <w:szCs w:val="32"/>
          <w:lang w:val="en-US" w:eastAsia="zh-CN"/>
        </w:rPr>
        <w:t>周波</w:t>
      </w:r>
      <w:r>
        <w:rPr>
          <w:rFonts w:hint="eastAsia" w:ascii="仿宋" w:hAnsi="仿宋" w:eastAsia="仿宋" w:cs="仿宋"/>
          <w:color w:val="000000"/>
          <w:sz w:val="32"/>
          <w:szCs w:val="32"/>
          <w:lang w:eastAsia="zh-CN"/>
        </w:rPr>
        <w:t>带领学校全体</w:t>
      </w:r>
      <w:r>
        <w:rPr>
          <w:rFonts w:hint="eastAsia" w:ascii="仿宋" w:hAnsi="仿宋" w:eastAsia="仿宋" w:cs="仿宋"/>
          <w:color w:val="000000"/>
          <w:sz w:val="32"/>
          <w:szCs w:val="32"/>
          <w:lang w:val="en-US" w:eastAsia="zh-CN"/>
        </w:rPr>
        <w:t>中层</w:t>
      </w:r>
      <w:r>
        <w:rPr>
          <w:rFonts w:hint="eastAsia" w:ascii="仿宋" w:hAnsi="仿宋" w:eastAsia="仿宋" w:cs="仿宋"/>
          <w:color w:val="000000"/>
          <w:sz w:val="32"/>
          <w:szCs w:val="32"/>
          <w:lang w:eastAsia="zh-CN"/>
        </w:rPr>
        <w:t>干部、全体党员、教职工专题学习会</w:t>
      </w:r>
      <w:r>
        <w:rPr>
          <w:rFonts w:hint="eastAsia" w:ascii="仿宋" w:hAnsi="仿宋" w:eastAsia="仿宋" w:cs="仿宋"/>
          <w:color w:val="000000"/>
          <w:sz w:val="32"/>
          <w:szCs w:val="32"/>
          <w:lang w:val="en-US" w:eastAsia="zh-CN"/>
        </w:rPr>
        <w:t>等方式</w:t>
      </w:r>
      <w:r>
        <w:rPr>
          <w:rFonts w:hint="eastAsia" w:ascii="仿宋" w:hAnsi="仿宋" w:eastAsia="仿宋" w:cs="仿宋"/>
          <w:color w:val="000000"/>
          <w:sz w:val="32"/>
          <w:szCs w:val="32"/>
          <w:lang w:eastAsia="zh-CN"/>
        </w:rPr>
        <w:t>深入学习了党的二十大报告，深刻领悟了党的二十大精神。</w:t>
      </w:r>
      <w:r>
        <w:rPr>
          <w:rFonts w:hint="eastAsia" w:ascii="仿宋" w:hAnsi="仿宋" w:eastAsia="仿宋" w:cs="仿宋"/>
          <w:color w:val="000000"/>
          <w:sz w:val="32"/>
          <w:szCs w:val="32"/>
          <w:lang w:val="en-US" w:eastAsia="zh-CN"/>
        </w:rPr>
        <w:t>要求</w:t>
      </w:r>
      <w:r>
        <w:rPr>
          <w:rFonts w:hint="eastAsia" w:ascii="仿宋" w:hAnsi="仿宋" w:eastAsia="仿宋" w:cs="仿宋"/>
          <w:color w:val="000000"/>
          <w:sz w:val="32"/>
          <w:szCs w:val="32"/>
          <w:lang w:eastAsia="zh-CN"/>
        </w:rPr>
        <w:t>学校全体党员、教职工要丹心向党，认真落实好立德树人的根本任务，</w:t>
      </w:r>
      <w:r>
        <w:rPr>
          <w:rFonts w:hint="eastAsia" w:ascii="仿宋" w:hAnsi="仿宋" w:eastAsia="仿宋" w:cs="仿宋"/>
          <w:color w:val="000000"/>
          <w:sz w:val="32"/>
          <w:szCs w:val="32"/>
          <w:lang w:val="en-US" w:eastAsia="zh-CN"/>
        </w:rPr>
        <w:t>提升服务效能。学生层面：学校团委通过组织开展专项演讲、黑板报评比、技能展示等活动将“二十大”精神宣传至每位同学。</w:t>
      </w:r>
    </w:p>
    <w:p>
      <w:pPr>
        <w:spacing w:line="360" w:lineRule="auto"/>
        <w:ind w:firstLine="793" w:firstLineChars="247"/>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2立德树人</w:t>
      </w:r>
    </w:p>
    <w:p>
      <w:pPr>
        <w:spacing w:line="360" w:lineRule="auto"/>
        <w:ind w:firstLine="790" w:firstLineChars="247"/>
        <w:rPr>
          <w:rFonts w:hint="eastAsia" w:ascii="仿宋" w:hAnsi="仿宋" w:eastAsia="仿宋" w:cs="仿宋"/>
          <w:sz w:val="32"/>
          <w:szCs w:val="32"/>
          <w:lang w:val="en-US" w:eastAsia="zh-CN"/>
        </w:rPr>
      </w:pPr>
      <w:r>
        <w:rPr>
          <w:rFonts w:hint="eastAsia" w:ascii="仿宋" w:hAnsi="仿宋" w:eastAsia="仿宋" w:cs="仿宋"/>
          <w:b w:val="0"/>
          <w:bCs/>
          <w:sz w:val="32"/>
          <w:szCs w:val="32"/>
        </w:rPr>
        <w:t>学校践行立德树人根本任务，积极推进思想政治课程改革，发挥思想政治课主阵地作用；创新思想政治课教学模式，推行基于网络学习平台的混合教学模式；目前我校有1个省级德育名师工作坊，1个省级名班主任工作室，1名市级德育学科带头人。2022年入选安徽省“三全育人”典型学校培育建设项目。</w:t>
      </w:r>
      <w:r>
        <w:rPr>
          <w:rFonts w:hint="eastAsia" w:ascii="仿宋" w:hAnsi="仿宋" w:eastAsia="仿宋" w:cs="仿宋"/>
          <w:sz w:val="32"/>
          <w:szCs w:val="32"/>
          <w:lang w:val="en-US" w:eastAsia="zh-CN"/>
        </w:rPr>
        <w:t>学校坚持</w:t>
      </w:r>
      <w:r>
        <w:rPr>
          <w:rFonts w:hint="eastAsia" w:ascii="仿宋" w:hAnsi="仿宋" w:eastAsia="仿宋" w:cs="仿宋"/>
          <w:sz w:val="32"/>
          <w:szCs w:val="32"/>
        </w:rPr>
        <w:t>用“三全育人”思想指导学生教育，全面理解“三全育人”工作涵义</w:t>
      </w:r>
      <w:r>
        <w:rPr>
          <w:rFonts w:hint="eastAsia" w:ascii="仿宋" w:hAnsi="仿宋" w:eastAsia="仿宋" w:cs="仿宋"/>
          <w:sz w:val="32"/>
          <w:szCs w:val="32"/>
          <w:lang w:eastAsia="zh-CN"/>
        </w:rPr>
        <w:t>，</w:t>
      </w:r>
      <w:r>
        <w:rPr>
          <w:rFonts w:hint="eastAsia" w:ascii="仿宋" w:hAnsi="仿宋" w:eastAsia="仿宋" w:cs="仿宋"/>
          <w:sz w:val="32"/>
          <w:szCs w:val="32"/>
        </w:rPr>
        <w:t>逐步完善“三全育人”工作机制</w:t>
      </w:r>
      <w:r>
        <w:rPr>
          <w:rFonts w:hint="eastAsia" w:ascii="仿宋" w:hAnsi="仿宋" w:eastAsia="仿宋" w:cs="仿宋"/>
          <w:sz w:val="32"/>
          <w:szCs w:val="32"/>
          <w:lang w:eastAsia="zh-CN"/>
        </w:rPr>
        <w:t>，</w:t>
      </w:r>
      <w:r>
        <w:rPr>
          <w:rFonts w:hint="eastAsia" w:ascii="仿宋" w:hAnsi="仿宋" w:eastAsia="仿宋" w:cs="仿宋"/>
          <w:sz w:val="32"/>
          <w:szCs w:val="32"/>
        </w:rPr>
        <w:t>动员和引导我校广大教职工牢固树立“育人为本、德育为先”的工作理念，全员育人、全程育人、全方位育人</w:t>
      </w:r>
      <w:r>
        <w:rPr>
          <w:rFonts w:hint="eastAsia" w:ascii="仿宋" w:hAnsi="仿宋" w:eastAsia="仿宋" w:cs="仿宋"/>
          <w:sz w:val="32"/>
          <w:szCs w:val="32"/>
          <w:lang w:eastAsia="zh-CN"/>
        </w:rPr>
        <w:t>，</w:t>
      </w:r>
      <w:r>
        <w:rPr>
          <w:rFonts w:hint="eastAsia" w:ascii="仿宋" w:hAnsi="仿宋" w:eastAsia="仿宋" w:cs="仿宋"/>
          <w:sz w:val="32"/>
          <w:szCs w:val="32"/>
        </w:rPr>
        <w:t>进一步将思想道德建设</w:t>
      </w:r>
      <w:r>
        <w:rPr>
          <w:rFonts w:hint="eastAsia" w:ascii="仿宋" w:hAnsi="仿宋" w:eastAsia="仿宋" w:cs="仿宋"/>
          <w:sz w:val="32"/>
          <w:szCs w:val="32"/>
          <w:lang w:val="en-US" w:eastAsia="zh-CN"/>
        </w:rPr>
        <w:t>和素质教育</w:t>
      </w:r>
      <w:r>
        <w:rPr>
          <w:rFonts w:hint="eastAsia" w:ascii="仿宋" w:hAnsi="仿宋" w:eastAsia="仿宋" w:cs="仿宋"/>
          <w:sz w:val="32"/>
          <w:szCs w:val="32"/>
        </w:rPr>
        <w:t>贯穿学生</w:t>
      </w:r>
      <w:r>
        <w:rPr>
          <w:rFonts w:hint="eastAsia" w:ascii="仿宋" w:hAnsi="仿宋" w:eastAsia="仿宋" w:cs="仿宋"/>
          <w:sz w:val="32"/>
          <w:szCs w:val="32"/>
          <w:lang w:val="en-US" w:eastAsia="zh-CN"/>
        </w:rPr>
        <w:t>的</w:t>
      </w:r>
      <w:r>
        <w:rPr>
          <w:rFonts w:hint="eastAsia" w:ascii="仿宋" w:hAnsi="仿宋" w:eastAsia="仿宋" w:cs="仿宋"/>
          <w:sz w:val="32"/>
          <w:szCs w:val="32"/>
        </w:rPr>
        <w:t>生活学习中</w:t>
      </w:r>
      <w:r>
        <w:rPr>
          <w:rFonts w:hint="eastAsia" w:ascii="仿宋" w:hAnsi="仿宋" w:eastAsia="仿宋" w:cs="仿宋"/>
          <w:sz w:val="32"/>
          <w:szCs w:val="32"/>
          <w:lang w:val="en-US" w:eastAsia="zh-CN"/>
        </w:rPr>
        <w:t>，促进我校学生全面发展。</w:t>
      </w:r>
    </w:p>
    <w:p>
      <w:pPr>
        <w:pStyle w:val="5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1</w:t>
      </w:r>
      <w:r>
        <w:rPr>
          <w:rFonts w:hint="eastAsia" w:ascii="仿宋" w:hAnsi="仿宋" w:eastAsia="仿宋" w:cs="仿宋"/>
          <w:bCs/>
          <w:sz w:val="32"/>
          <w:szCs w:val="32"/>
          <w:lang w:eastAsia="zh-CN"/>
        </w:rPr>
        <w:t>）</w:t>
      </w:r>
      <w:r>
        <w:rPr>
          <w:rFonts w:hint="eastAsia" w:ascii="仿宋" w:hAnsi="仿宋" w:eastAsia="仿宋" w:cs="仿宋"/>
          <w:bCs/>
          <w:sz w:val="32"/>
          <w:szCs w:val="32"/>
        </w:rPr>
        <w:t>严格执行国家要求。按照</w:t>
      </w:r>
      <w:r>
        <w:rPr>
          <w:rFonts w:ascii="仿宋" w:hAnsi="仿宋" w:eastAsia="仿宋" w:cs="仿宋"/>
          <w:bCs/>
          <w:sz w:val="32"/>
          <w:szCs w:val="32"/>
        </w:rPr>
        <w:t>教育部2019年13号文、61号文</w:t>
      </w:r>
      <w:r>
        <w:rPr>
          <w:rFonts w:hint="eastAsia" w:ascii="仿宋" w:hAnsi="仿宋" w:eastAsia="仿宋" w:cs="仿宋"/>
          <w:bCs/>
          <w:sz w:val="32"/>
          <w:szCs w:val="32"/>
        </w:rPr>
        <w:t>、6号文的要求，在各</w:t>
      </w:r>
      <w:r>
        <w:rPr>
          <w:rFonts w:ascii="仿宋" w:hAnsi="仿宋" w:eastAsia="仿宋" w:cs="仿宋"/>
          <w:bCs/>
          <w:sz w:val="32"/>
          <w:szCs w:val="32"/>
        </w:rPr>
        <w:t>专业建设指导委员会定期修订人才培养方案。</w:t>
      </w:r>
      <w:r>
        <w:rPr>
          <w:rFonts w:hint="eastAsia" w:ascii="仿宋" w:hAnsi="仿宋" w:eastAsia="仿宋" w:cs="仿宋"/>
          <w:bCs/>
          <w:sz w:val="32"/>
          <w:szCs w:val="32"/>
        </w:rPr>
        <w:t>学校落实德育大纲和德育课程，德育课开设符合教育部《中等职业学校德育大纲》要求，把社会主义核心价值观融入教育教学全过程，德育工作有创新，成效明显。</w:t>
      </w:r>
    </w:p>
    <w:p>
      <w:pPr>
        <w:pStyle w:val="5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2</w:t>
      </w:r>
      <w:r>
        <w:rPr>
          <w:rFonts w:hint="eastAsia" w:ascii="仿宋" w:hAnsi="仿宋" w:eastAsia="仿宋" w:cs="仿宋"/>
          <w:bCs/>
          <w:sz w:val="32"/>
          <w:szCs w:val="32"/>
          <w:lang w:eastAsia="zh-CN"/>
        </w:rPr>
        <w:t>）</w:t>
      </w:r>
      <w:r>
        <w:rPr>
          <w:rFonts w:hint="eastAsia" w:ascii="仿宋" w:hAnsi="仿宋" w:eastAsia="仿宋" w:cs="仿宋"/>
          <w:bCs/>
          <w:sz w:val="32"/>
          <w:szCs w:val="32"/>
        </w:rPr>
        <w:t>文化基础课执行国家标准。文化基础课能按教育部印发的新课程标准规定开足、开齐、开好。加强文化基础教育，培养学生核心素养、综合职业能力和可持续发展力，学生就业有能力、升学有基础。</w:t>
      </w:r>
    </w:p>
    <w:p>
      <w:pPr>
        <w:pStyle w:val="5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3</w:t>
      </w:r>
      <w:r>
        <w:rPr>
          <w:rFonts w:hint="eastAsia" w:ascii="仿宋" w:hAnsi="仿宋" w:eastAsia="仿宋" w:cs="仿宋"/>
          <w:bCs/>
          <w:sz w:val="32"/>
          <w:szCs w:val="32"/>
          <w:lang w:eastAsia="zh-CN"/>
        </w:rPr>
        <w:t>）</w:t>
      </w:r>
      <w:r>
        <w:rPr>
          <w:rFonts w:hint="eastAsia" w:ascii="仿宋" w:hAnsi="仿宋" w:eastAsia="仿宋" w:cs="仿宋"/>
          <w:bCs/>
          <w:sz w:val="32"/>
          <w:szCs w:val="32"/>
        </w:rPr>
        <w:t>注重文化育人。弘扬中华优秀传统文化，加强校园文化建设，建设有鲜明职业教育特色、时代特征和个性彰显的学校文化，文化育人成果丰硕。发挥较强育人功能，丰富德育实践体验，学生自觉践行公约。</w:t>
      </w:r>
    </w:p>
    <w:p>
      <w:pPr>
        <w:pStyle w:val="5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4</w:t>
      </w:r>
      <w:r>
        <w:rPr>
          <w:rFonts w:hint="eastAsia" w:ascii="仿宋" w:hAnsi="仿宋" w:eastAsia="仿宋" w:cs="仿宋"/>
          <w:bCs/>
          <w:sz w:val="32"/>
          <w:szCs w:val="32"/>
          <w:lang w:eastAsia="zh-CN"/>
        </w:rPr>
        <w:t>）</w:t>
      </w:r>
      <w:r>
        <w:rPr>
          <w:rFonts w:hint="eastAsia" w:ascii="仿宋" w:hAnsi="仿宋" w:eastAsia="仿宋" w:cs="仿宋"/>
          <w:bCs/>
          <w:sz w:val="32"/>
          <w:szCs w:val="32"/>
        </w:rPr>
        <w:t>全员参与文明创建。积极开展文明校园创建活动，深入学习习近平新时代中国特色社会主义思想，强化理想信念教育，将社会主义核心价值观融入学校教育教学全过程，进行了形式多样的思想道德建设教育活动。开展以“青少年学党史”、“国旗下的宣讲” 、“微宣讲进班级”、主题黑板报、手抄报比赛等爱国教育活动，宣传教育效果良好。</w:t>
      </w:r>
    </w:p>
    <w:p>
      <w:pPr>
        <w:pStyle w:val="5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5</w:t>
      </w:r>
      <w:r>
        <w:rPr>
          <w:rFonts w:hint="eastAsia" w:ascii="仿宋" w:hAnsi="仿宋" w:eastAsia="仿宋" w:cs="仿宋"/>
          <w:bCs/>
          <w:sz w:val="32"/>
          <w:szCs w:val="32"/>
          <w:lang w:eastAsia="zh-CN"/>
        </w:rPr>
        <w:t>）</w:t>
      </w:r>
      <w:r>
        <w:rPr>
          <w:rFonts w:hint="eastAsia" w:ascii="仿宋" w:hAnsi="仿宋" w:eastAsia="仿宋" w:cs="仿宋"/>
          <w:bCs/>
          <w:sz w:val="32"/>
          <w:szCs w:val="32"/>
        </w:rPr>
        <w:t>加强心理健康教育。具有心理辅导中心和教育团队，学生心理健康档案和心理危机干预机制健全。每年心理咨询室为每一级新生建立电子心理健康档案并进行普测，就SCL—90量表和心理健康自评量表的测试，对测出的异常人群，如在敌对性、偏执性上得分较高的或者在抑郁倾向、情绪低落、空有志向没有学习目标和动力的，咨询师将配合老师、班主任和家长给予更多的关爱和引导。</w:t>
      </w:r>
    </w:p>
    <w:p>
      <w:pPr>
        <w:pStyle w:val="5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6</w:t>
      </w:r>
      <w:r>
        <w:rPr>
          <w:rFonts w:hint="eastAsia" w:ascii="仿宋" w:hAnsi="仿宋" w:eastAsia="仿宋" w:cs="仿宋"/>
          <w:bCs/>
          <w:sz w:val="32"/>
          <w:szCs w:val="32"/>
          <w:lang w:eastAsia="zh-CN"/>
        </w:rPr>
        <w:t>）</w:t>
      </w:r>
      <w:r>
        <w:rPr>
          <w:rFonts w:hint="eastAsia" w:ascii="仿宋" w:hAnsi="仿宋" w:eastAsia="仿宋" w:cs="仿宋"/>
          <w:bCs/>
          <w:sz w:val="32"/>
          <w:szCs w:val="32"/>
        </w:rPr>
        <w:t>注重体育活动开展。以贯彻新课程理念为主旨</w:t>
      </w:r>
      <w:r>
        <w:rPr>
          <w:rFonts w:hint="eastAsia" w:ascii="仿宋" w:hAnsi="仿宋" w:eastAsia="仿宋" w:cs="仿宋"/>
          <w:bCs/>
          <w:sz w:val="32"/>
          <w:szCs w:val="32"/>
          <w:lang w:eastAsia="zh-CN"/>
        </w:rPr>
        <w:t>。</w:t>
      </w:r>
      <w:r>
        <w:rPr>
          <w:rFonts w:hint="eastAsia" w:ascii="仿宋" w:hAnsi="仿宋" w:eastAsia="仿宋" w:cs="仿宋"/>
          <w:bCs/>
          <w:sz w:val="32"/>
          <w:szCs w:val="32"/>
        </w:rPr>
        <w:t>组织认真学习《教育部等五部门关于全面加强和改进新时代学校卫生与健康教育工作的意见》，坚持学生全员参与，学校领导紧密配合，教职工全员协作，建立领导区域推磨巡查、体育教师安排指导、班主任组织实施、年级部检查评比等机制，以保证体育活动的有效开展。</w:t>
      </w:r>
    </w:p>
    <w:p>
      <w:pPr>
        <w:pStyle w:val="50"/>
        <w:spacing w:line="360" w:lineRule="auto"/>
        <w:ind w:firstLine="640" w:firstLineChars="200"/>
        <w:rPr>
          <w:rFonts w:hint="eastAsia"/>
          <w:lang w:val="en-US" w:eastAsia="zh-CN"/>
        </w:rPr>
      </w:pP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7</w:t>
      </w:r>
      <w:r>
        <w:rPr>
          <w:rFonts w:hint="eastAsia" w:ascii="仿宋" w:hAnsi="仿宋" w:eastAsia="仿宋" w:cs="仿宋"/>
          <w:bCs/>
          <w:sz w:val="32"/>
          <w:szCs w:val="32"/>
          <w:lang w:eastAsia="zh-CN"/>
        </w:rPr>
        <w:t>）</w:t>
      </w:r>
      <w:r>
        <w:rPr>
          <w:rFonts w:hint="eastAsia" w:ascii="仿宋" w:hAnsi="仿宋" w:eastAsia="仿宋" w:cs="仿宋"/>
          <w:bCs/>
          <w:sz w:val="32"/>
          <w:szCs w:val="32"/>
        </w:rPr>
        <w:t>加强劳动教育开展。将劳动教育纳入全面培养的教育体系，制定劳动教育方案，优化综合实践活动课程结构。统筹加强学生生活实践、劳动技术和职业体验教育，统筹家务劳动、校内劳动和社会劳动。注重学生劳动观念的培养和劳动技能的教育，具有一定的劳动技能。</w:t>
      </w:r>
    </w:p>
    <w:p>
      <w:pPr>
        <w:adjustRightInd w:val="0"/>
        <w:snapToGrid w:val="0"/>
        <w:jc w:val="center"/>
        <w:outlineLvl w:val="2"/>
        <w:rPr>
          <w:rFonts w:hint="eastAsia" w:ascii="仿宋" w:hAnsi="仿宋" w:eastAsia="仿宋" w:cs="仿宋"/>
          <w:b/>
          <w:kern w:val="0"/>
          <w:sz w:val="28"/>
          <w:szCs w:val="28"/>
        </w:rPr>
      </w:pPr>
      <w:r>
        <w:rPr>
          <w:rFonts w:hint="eastAsia" w:ascii="仿宋" w:hAnsi="仿宋" w:eastAsia="仿宋" w:cs="仿宋"/>
          <w:b/>
          <w:kern w:val="0"/>
          <w:sz w:val="28"/>
          <w:szCs w:val="28"/>
        </w:rPr>
        <w:t>表2</w:t>
      </w:r>
      <w:r>
        <w:rPr>
          <w:rFonts w:hint="eastAsia" w:ascii="仿宋" w:hAnsi="仿宋" w:eastAsia="仿宋" w:cs="仿宋"/>
          <w:b/>
          <w:kern w:val="0"/>
          <w:sz w:val="28"/>
          <w:szCs w:val="28"/>
          <w:lang w:val="en-US" w:eastAsia="zh-CN"/>
        </w:rPr>
        <w:t xml:space="preserve">  </w:t>
      </w:r>
      <w:r>
        <w:rPr>
          <w:rFonts w:hint="eastAsia" w:ascii="仿宋" w:hAnsi="仿宋" w:eastAsia="仿宋" w:cs="仿宋"/>
          <w:b/>
          <w:kern w:val="0"/>
          <w:sz w:val="28"/>
          <w:szCs w:val="28"/>
        </w:rPr>
        <w:t>近两学年中等职业学校三全育人实施情况一览表</w:t>
      </w:r>
    </w:p>
    <w:tbl>
      <w:tblPr>
        <w:tblStyle w:val="15"/>
        <w:tblpPr w:leftFromText="180" w:rightFromText="180" w:vertAnchor="text" w:horzAnchor="margin" w:tblpXSpec="center" w:tblpY="173"/>
        <w:tblOverlap w:val="never"/>
        <w:tblW w:w="8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276"/>
        <w:gridCol w:w="1134"/>
        <w:gridCol w:w="1417"/>
        <w:gridCol w:w="1276"/>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6" w:type="dxa"/>
            <w:noWrap w:val="0"/>
            <w:vAlign w:val="center"/>
          </w:tcPr>
          <w:p>
            <w:pPr>
              <w:adjustRightInd w:val="0"/>
              <w:snapToGrid w:val="0"/>
              <w:spacing w:line="0" w:lineRule="atLeast"/>
              <w:jc w:val="center"/>
              <w:rPr>
                <w:rFonts w:hint="eastAsia"/>
                <w:b/>
                <w:bCs/>
                <w:sz w:val="18"/>
                <w:szCs w:val="18"/>
              </w:rPr>
            </w:pPr>
            <w:r>
              <w:rPr>
                <w:rFonts w:hint="eastAsia"/>
                <w:b/>
                <w:bCs/>
                <w:sz w:val="18"/>
                <w:szCs w:val="18"/>
              </w:rPr>
              <w:t>学年度</w:t>
            </w:r>
          </w:p>
        </w:tc>
        <w:tc>
          <w:tcPr>
            <w:tcW w:w="1276" w:type="dxa"/>
            <w:noWrap w:val="0"/>
            <w:vAlign w:val="center"/>
          </w:tcPr>
          <w:p>
            <w:pPr>
              <w:adjustRightInd w:val="0"/>
              <w:snapToGrid w:val="0"/>
              <w:spacing w:line="0" w:lineRule="atLeast"/>
              <w:jc w:val="center"/>
              <w:rPr>
                <w:rFonts w:hint="eastAsia" w:ascii="宋体" w:hAnsi="宋体"/>
                <w:b/>
                <w:bCs/>
                <w:sz w:val="18"/>
                <w:szCs w:val="18"/>
              </w:rPr>
            </w:pPr>
            <w:r>
              <w:rPr>
                <w:rFonts w:hint="eastAsia" w:ascii="宋体" w:hAnsi="宋体"/>
                <w:b/>
                <w:bCs/>
                <w:sz w:val="18"/>
                <w:szCs w:val="18"/>
              </w:rPr>
              <w:t>体育课专任教师</w:t>
            </w:r>
          </w:p>
        </w:tc>
        <w:tc>
          <w:tcPr>
            <w:tcW w:w="1134" w:type="dxa"/>
            <w:noWrap w:val="0"/>
            <w:vAlign w:val="center"/>
          </w:tcPr>
          <w:p>
            <w:pPr>
              <w:adjustRightInd w:val="0"/>
              <w:snapToGrid w:val="0"/>
              <w:spacing w:line="0" w:lineRule="atLeast"/>
              <w:jc w:val="center"/>
              <w:rPr>
                <w:rFonts w:ascii="宋体" w:hAnsi="宋体"/>
                <w:b/>
                <w:bCs/>
                <w:sz w:val="18"/>
                <w:szCs w:val="18"/>
              </w:rPr>
            </w:pPr>
            <w:r>
              <w:rPr>
                <w:rFonts w:hint="eastAsia" w:ascii="宋体" w:hAnsi="宋体"/>
                <w:b/>
                <w:bCs/>
                <w:sz w:val="18"/>
                <w:szCs w:val="18"/>
              </w:rPr>
              <w:t>美育课专任教师</w:t>
            </w:r>
          </w:p>
        </w:tc>
        <w:tc>
          <w:tcPr>
            <w:tcW w:w="1417" w:type="dxa"/>
            <w:noWrap w:val="0"/>
            <w:vAlign w:val="center"/>
          </w:tcPr>
          <w:p>
            <w:pPr>
              <w:adjustRightInd w:val="0"/>
              <w:snapToGrid w:val="0"/>
              <w:spacing w:line="0" w:lineRule="atLeast"/>
              <w:jc w:val="center"/>
              <w:rPr>
                <w:rFonts w:hint="eastAsia" w:ascii="宋体" w:hAnsi="宋体"/>
                <w:b/>
                <w:bCs/>
                <w:sz w:val="18"/>
                <w:szCs w:val="18"/>
              </w:rPr>
            </w:pPr>
            <w:r>
              <w:rPr>
                <w:rFonts w:hint="eastAsia" w:ascii="宋体" w:hAnsi="宋体"/>
                <w:b/>
                <w:bCs/>
                <w:sz w:val="18"/>
                <w:szCs w:val="18"/>
              </w:rPr>
              <w:t>思想政治课专任教师</w:t>
            </w:r>
          </w:p>
        </w:tc>
        <w:tc>
          <w:tcPr>
            <w:tcW w:w="1276" w:type="dxa"/>
            <w:noWrap w:val="0"/>
            <w:vAlign w:val="center"/>
          </w:tcPr>
          <w:p>
            <w:pPr>
              <w:adjustRightInd w:val="0"/>
              <w:snapToGrid w:val="0"/>
              <w:spacing w:line="0" w:lineRule="atLeast"/>
              <w:jc w:val="center"/>
              <w:rPr>
                <w:rFonts w:ascii="宋体" w:hAnsi="宋体"/>
                <w:b/>
                <w:bCs/>
                <w:sz w:val="18"/>
                <w:szCs w:val="18"/>
              </w:rPr>
            </w:pPr>
            <w:r>
              <w:rPr>
                <w:rFonts w:hint="eastAsia" w:ascii="宋体" w:hAnsi="宋体"/>
                <w:b/>
                <w:bCs/>
                <w:sz w:val="18"/>
                <w:szCs w:val="18"/>
              </w:rPr>
              <w:t>德育管理员人数</w:t>
            </w:r>
          </w:p>
        </w:tc>
        <w:tc>
          <w:tcPr>
            <w:tcW w:w="1417" w:type="dxa"/>
            <w:noWrap w:val="0"/>
            <w:vAlign w:val="center"/>
          </w:tcPr>
          <w:p>
            <w:pPr>
              <w:adjustRightInd w:val="0"/>
              <w:snapToGrid w:val="0"/>
              <w:spacing w:line="0" w:lineRule="atLeast"/>
              <w:jc w:val="center"/>
              <w:rPr>
                <w:rFonts w:hint="eastAsia" w:ascii="宋体" w:hAnsi="宋体"/>
                <w:b/>
                <w:bCs/>
                <w:sz w:val="18"/>
                <w:szCs w:val="18"/>
              </w:rPr>
            </w:pPr>
            <w:r>
              <w:rPr>
                <w:rFonts w:hint="eastAsia" w:ascii="宋体" w:hAnsi="宋体"/>
                <w:b/>
                <w:bCs/>
                <w:sz w:val="18"/>
                <w:szCs w:val="18"/>
              </w:rPr>
              <w:t>班主任</w:t>
            </w:r>
            <w:r>
              <w:rPr>
                <w:rFonts w:hint="eastAsia" w:ascii="宋体" w:hAnsi="宋体"/>
                <w:b/>
                <w:bCs/>
                <w:sz w:val="18"/>
                <w:szCs w:val="18"/>
                <w:lang w:val="en-US" w:eastAsia="zh-CN"/>
              </w:rPr>
              <w:t>人</w:t>
            </w:r>
            <w:r>
              <w:rPr>
                <w:rFonts w:hint="eastAsia" w:ascii="宋体" w:hAnsi="宋体"/>
                <w:b/>
                <w:bCs/>
                <w:sz w:val="18"/>
                <w:szCs w:val="18"/>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26" w:type="dxa"/>
            <w:tcBorders>
              <w:bottom w:val="single" w:color="auto" w:sz="4" w:space="0"/>
            </w:tcBorders>
            <w:noWrap w:val="0"/>
            <w:vAlign w:val="center"/>
          </w:tcPr>
          <w:p>
            <w:pPr>
              <w:spacing w:line="240" w:lineRule="atLeast"/>
              <w:jc w:val="center"/>
              <w:rPr>
                <w:rFonts w:hint="eastAsia" w:ascii="仿宋" w:hAnsi="仿宋" w:eastAsia="仿宋" w:cs="宋体"/>
                <w:b/>
                <w:sz w:val="18"/>
                <w:szCs w:val="18"/>
                <w:lang w:eastAsia="zh-CN"/>
              </w:rPr>
            </w:pPr>
            <w:r>
              <w:rPr>
                <w:rFonts w:hint="eastAsia" w:ascii="仿宋" w:hAnsi="仿宋" w:eastAsia="仿宋"/>
                <w:b/>
                <w:sz w:val="18"/>
                <w:szCs w:val="18"/>
              </w:rPr>
              <w:t>20</w:t>
            </w:r>
            <w:r>
              <w:rPr>
                <w:rFonts w:hint="eastAsia" w:ascii="仿宋" w:hAnsi="仿宋" w:eastAsia="仿宋"/>
                <w:b/>
                <w:sz w:val="18"/>
                <w:szCs w:val="18"/>
                <w:lang w:val="en-US" w:eastAsia="zh-CN"/>
              </w:rPr>
              <w:t>20</w:t>
            </w:r>
            <w:r>
              <w:rPr>
                <w:rFonts w:hint="eastAsia" w:ascii="仿宋" w:hAnsi="仿宋" w:eastAsia="仿宋"/>
                <w:b/>
                <w:sz w:val="18"/>
                <w:szCs w:val="18"/>
              </w:rPr>
              <w:t>～202</w:t>
            </w:r>
            <w:r>
              <w:rPr>
                <w:rFonts w:hint="eastAsia" w:ascii="仿宋" w:hAnsi="仿宋" w:eastAsia="仿宋"/>
                <w:b/>
                <w:sz w:val="18"/>
                <w:szCs w:val="18"/>
                <w:lang w:val="en-US" w:eastAsia="zh-CN"/>
              </w:rPr>
              <w:t>1</w:t>
            </w:r>
          </w:p>
        </w:tc>
        <w:tc>
          <w:tcPr>
            <w:tcW w:w="1276" w:type="dxa"/>
            <w:tcBorders>
              <w:bottom w:val="single" w:color="auto" w:sz="4" w:space="0"/>
            </w:tcBorders>
            <w:noWrap w:val="0"/>
            <w:vAlign w:val="center"/>
          </w:tcPr>
          <w:p>
            <w:pPr>
              <w:adjustRightInd w:val="0"/>
              <w:snapToGrid w:val="0"/>
              <w:spacing w:line="0" w:lineRule="atLeast"/>
              <w:jc w:val="center"/>
              <w:rPr>
                <w:rFonts w:hint="default" w:ascii="宋体" w:hAnsi="宋体" w:eastAsia="宋体"/>
                <w:szCs w:val="21"/>
                <w:lang w:val="en-US" w:eastAsia="zh-CN"/>
              </w:rPr>
            </w:pPr>
            <w:r>
              <w:rPr>
                <w:rFonts w:hint="eastAsia" w:ascii="宋体" w:hAnsi="宋体"/>
                <w:szCs w:val="21"/>
                <w:lang w:val="en-US" w:eastAsia="zh-CN"/>
              </w:rPr>
              <w:t>12</w:t>
            </w:r>
          </w:p>
        </w:tc>
        <w:tc>
          <w:tcPr>
            <w:tcW w:w="1134" w:type="dxa"/>
            <w:tcBorders>
              <w:bottom w:val="single" w:color="auto" w:sz="4" w:space="0"/>
            </w:tcBorders>
            <w:noWrap w:val="0"/>
            <w:vAlign w:val="center"/>
          </w:tcPr>
          <w:p>
            <w:pPr>
              <w:adjustRightInd w:val="0"/>
              <w:snapToGrid w:val="0"/>
              <w:spacing w:line="0" w:lineRule="atLeast"/>
              <w:jc w:val="center"/>
              <w:rPr>
                <w:rFonts w:hint="default" w:ascii="宋体" w:hAnsi="宋体" w:eastAsia="宋体"/>
                <w:szCs w:val="21"/>
                <w:lang w:val="en-US" w:eastAsia="zh-CN"/>
              </w:rPr>
            </w:pPr>
            <w:r>
              <w:rPr>
                <w:rFonts w:hint="eastAsia" w:ascii="宋体" w:hAnsi="宋体"/>
                <w:szCs w:val="21"/>
                <w:lang w:val="en-US" w:eastAsia="zh-CN"/>
              </w:rPr>
              <w:t>11</w:t>
            </w:r>
          </w:p>
        </w:tc>
        <w:tc>
          <w:tcPr>
            <w:tcW w:w="1417" w:type="dxa"/>
            <w:tcBorders>
              <w:bottom w:val="single" w:color="auto" w:sz="4" w:space="0"/>
            </w:tcBorders>
            <w:noWrap w:val="0"/>
            <w:vAlign w:val="center"/>
          </w:tcPr>
          <w:p>
            <w:pPr>
              <w:adjustRightInd w:val="0"/>
              <w:snapToGrid w:val="0"/>
              <w:spacing w:line="0" w:lineRule="atLeast"/>
              <w:jc w:val="center"/>
              <w:rPr>
                <w:rFonts w:hint="default" w:ascii="宋体" w:hAnsi="宋体" w:eastAsia="宋体"/>
                <w:szCs w:val="21"/>
                <w:lang w:val="en-US" w:eastAsia="zh-CN"/>
              </w:rPr>
            </w:pPr>
            <w:r>
              <w:rPr>
                <w:rFonts w:hint="eastAsia" w:ascii="宋体" w:hAnsi="宋体"/>
                <w:szCs w:val="21"/>
                <w:lang w:val="en-US" w:eastAsia="zh-CN"/>
              </w:rPr>
              <w:t>15</w:t>
            </w:r>
          </w:p>
        </w:tc>
        <w:tc>
          <w:tcPr>
            <w:tcW w:w="1276" w:type="dxa"/>
            <w:tcBorders>
              <w:bottom w:val="single" w:color="auto" w:sz="4" w:space="0"/>
            </w:tcBorders>
            <w:noWrap w:val="0"/>
            <w:vAlign w:val="center"/>
          </w:tcPr>
          <w:p>
            <w:pPr>
              <w:adjustRightInd w:val="0"/>
              <w:snapToGrid w:val="0"/>
              <w:spacing w:line="0" w:lineRule="atLeast"/>
              <w:jc w:val="center"/>
              <w:rPr>
                <w:rFonts w:hint="default" w:ascii="宋体" w:hAnsi="宋体" w:eastAsia="宋体"/>
                <w:szCs w:val="21"/>
                <w:lang w:val="en-US" w:eastAsia="zh-CN"/>
              </w:rPr>
            </w:pPr>
            <w:r>
              <w:rPr>
                <w:rFonts w:hint="eastAsia" w:ascii="宋体" w:hAnsi="宋体"/>
                <w:szCs w:val="21"/>
                <w:lang w:val="en-US" w:eastAsia="zh-CN"/>
              </w:rPr>
              <w:t>17</w:t>
            </w:r>
          </w:p>
        </w:tc>
        <w:tc>
          <w:tcPr>
            <w:tcW w:w="1417" w:type="dxa"/>
            <w:tcBorders>
              <w:bottom w:val="single" w:color="auto" w:sz="4" w:space="0"/>
            </w:tcBorders>
            <w:noWrap w:val="0"/>
            <w:vAlign w:val="center"/>
          </w:tcPr>
          <w:p>
            <w:pPr>
              <w:adjustRightInd w:val="0"/>
              <w:snapToGrid w:val="0"/>
              <w:spacing w:line="0" w:lineRule="atLeast"/>
              <w:jc w:val="center"/>
              <w:rPr>
                <w:rFonts w:hint="default" w:ascii="宋体" w:hAnsi="宋体" w:eastAsia="宋体"/>
                <w:szCs w:val="21"/>
                <w:lang w:val="en-US" w:eastAsia="zh-CN"/>
              </w:rPr>
            </w:pPr>
            <w:r>
              <w:rPr>
                <w:rFonts w:hint="eastAsia" w:ascii="宋体" w:hAnsi="宋体"/>
                <w:szCs w:val="21"/>
                <w:lang w:val="en-US" w:eastAsia="zh-CN"/>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26" w:type="dxa"/>
            <w:noWrap w:val="0"/>
            <w:vAlign w:val="center"/>
          </w:tcPr>
          <w:p>
            <w:pPr>
              <w:spacing w:line="240" w:lineRule="atLeast"/>
              <w:jc w:val="center"/>
              <w:rPr>
                <w:rFonts w:hint="eastAsia" w:ascii="仿宋" w:hAnsi="仿宋" w:eastAsia="仿宋" w:cs="宋体"/>
                <w:b/>
                <w:sz w:val="18"/>
                <w:szCs w:val="18"/>
                <w:lang w:eastAsia="zh-CN"/>
              </w:rPr>
            </w:pPr>
            <w:r>
              <w:rPr>
                <w:rFonts w:hint="eastAsia" w:ascii="仿宋" w:hAnsi="仿宋" w:eastAsia="仿宋"/>
                <w:b/>
                <w:sz w:val="18"/>
                <w:szCs w:val="18"/>
              </w:rPr>
              <w:t>202</w:t>
            </w:r>
            <w:r>
              <w:rPr>
                <w:rFonts w:hint="eastAsia" w:ascii="仿宋" w:hAnsi="仿宋" w:eastAsia="仿宋"/>
                <w:b/>
                <w:sz w:val="18"/>
                <w:szCs w:val="18"/>
                <w:lang w:val="en-US" w:eastAsia="zh-CN"/>
              </w:rPr>
              <w:t>1</w:t>
            </w:r>
            <w:r>
              <w:rPr>
                <w:rFonts w:hint="eastAsia" w:ascii="仿宋" w:hAnsi="仿宋" w:eastAsia="仿宋"/>
                <w:b/>
                <w:sz w:val="18"/>
                <w:szCs w:val="18"/>
              </w:rPr>
              <w:t>～202</w:t>
            </w:r>
            <w:r>
              <w:rPr>
                <w:rFonts w:hint="eastAsia" w:ascii="仿宋" w:hAnsi="仿宋" w:eastAsia="仿宋"/>
                <w:b/>
                <w:sz w:val="18"/>
                <w:szCs w:val="18"/>
                <w:lang w:val="en-US" w:eastAsia="zh-CN"/>
              </w:rPr>
              <w:t>2</w:t>
            </w:r>
          </w:p>
        </w:tc>
        <w:tc>
          <w:tcPr>
            <w:tcW w:w="1276" w:type="dxa"/>
            <w:noWrap w:val="0"/>
            <w:vAlign w:val="center"/>
          </w:tcPr>
          <w:p>
            <w:pPr>
              <w:adjustRightInd w:val="0"/>
              <w:snapToGrid w:val="0"/>
              <w:spacing w:line="0" w:lineRule="atLeast"/>
              <w:jc w:val="center"/>
              <w:rPr>
                <w:rFonts w:hint="default" w:ascii="宋体" w:hAnsi="宋体" w:eastAsia="宋体"/>
                <w:szCs w:val="21"/>
                <w:lang w:val="en-US" w:eastAsia="zh-CN"/>
              </w:rPr>
            </w:pPr>
            <w:r>
              <w:rPr>
                <w:rFonts w:hint="eastAsia" w:ascii="宋体" w:hAnsi="宋体"/>
                <w:szCs w:val="21"/>
                <w:lang w:val="en-US" w:eastAsia="zh-CN"/>
              </w:rPr>
              <w:t>15</w:t>
            </w:r>
          </w:p>
        </w:tc>
        <w:tc>
          <w:tcPr>
            <w:tcW w:w="1134" w:type="dxa"/>
            <w:noWrap w:val="0"/>
            <w:vAlign w:val="center"/>
          </w:tcPr>
          <w:p>
            <w:pPr>
              <w:adjustRightInd w:val="0"/>
              <w:snapToGrid w:val="0"/>
              <w:spacing w:line="0" w:lineRule="atLeast"/>
              <w:jc w:val="center"/>
              <w:rPr>
                <w:rFonts w:hint="default" w:ascii="宋体" w:hAnsi="宋体" w:eastAsia="宋体"/>
                <w:szCs w:val="21"/>
                <w:lang w:val="en-US" w:eastAsia="zh-CN"/>
              </w:rPr>
            </w:pPr>
            <w:r>
              <w:rPr>
                <w:rFonts w:hint="eastAsia" w:ascii="宋体" w:hAnsi="宋体"/>
                <w:szCs w:val="21"/>
                <w:lang w:val="en-US" w:eastAsia="zh-CN"/>
              </w:rPr>
              <w:t>12</w:t>
            </w:r>
          </w:p>
        </w:tc>
        <w:tc>
          <w:tcPr>
            <w:tcW w:w="1417" w:type="dxa"/>
            <w:noWrap w:val="0"/>
            <w:vAlign w:val="center"/>
          </w:tcPr>
          <w:p>
            <w:pPr>
              <w:adjustRightInd w:val="0"/>
              <w:snapToGrid w:val="0"/>
              <w:spacing w:line="0" w:lineRule="atLeast"/>
              <w:jc w:val="center"/>
              <w:rPr>
                <w:rFonts w:hint="default" w:ascii="宋体" w:hAnsi="宋体" w:eastAsia="宋体"/>
                <w:szCs w:val="21"/>
                <w:lang w:val="en-US" w:eastAsia="zh-CN"/>
              </w:rPr>
            </w:pPr>
            <w:r>
              <w:rPr>
                <w:rFonts w:hint="eastAsia" w:ascii="宋体" w:hAnsi="宋体"/>
                <w:szCs w:val="21"/>
                <w:lang w:val="en-US" w:eastAsia="zh-CN"/>
              </w:rPr>
              <w:t>18</w:t>
            </w:r>
          </w:p>
        </w:tc>
        <w:tc>
          <w:tcPr>
            <w:tcW w:w="1276" w:type="dxa"/>
            <w:noWrap w:val="0"/>
            <w:vAlign w:val="center"/>
          </w:tcPr>
          <w:p>
            <w:pPr>
              <w:adjustRightInd w:val="0"/>
              <w:snapToGrid w:val="0"/>
              <w:spacing w:line="0" w:lineRule="atLeast"/>
              <w:jc w:val="center"/>
              <w:rPr>
                <w:rFonts w:hint="default" w:ascii="宋体" w:hAnsi="宋体" w:eastAsia="宋体"/>
                <w:szCs w:val="21"/>
                <w:lang w:val="en-US" w:eastAsia="zh-CN"/>
              </w:rPr>
            </w:pPr>
            <w:r>
              <w:rPr>
                <w:rFonts w:hint="eastAsia" w:ascii="宋体" w:hAnsi="宋体"/>
                <w:szCs w:val="21"/>
                <w:lang w:val="en-US" w:eastAsia="zh-CN"/>
              </w:rPr>
              <w:t>20</w:t>
            </w:r>
          </w:p>
        </w:tc>
        <w:tc>
          <w:tcPr>
            <w:tcW w:w="1417" w:type="dxa"/>
            <w:noWrap w:val="0"/>
            <w:vAlign w:val="center"/>
          </w:tcPr>
          <w:p>
            <w:pPr>
              <w:adjustRightInd w:val="0"/>
              <w:snapToGrid w:val="0"/>
              <w:spacing w:line="0" w:lineRule="atLeast"/>
              <w:jc w:val="center"/>
              <w:rPr>
                <w:rFonts w:hint="default" w:ascii="宋体" w:hAnsi="宋体" w:eastAsia="宋体"/>
                <w:szCs w:val="21"/>
                <w:lang w:val="en-US" w:eastAsia="zh-CN"/>
              </w:rPr>
            </w:pPr>
            <w:r>
              <w:rPr>
                <w:rFonts w:hint="eastAsia" w:ascii="宋体" w:hAnsi="宋体"/>
                <w:szCs w:val="21"/>
                <w:lang w:val="en-US" w:eastAsia="zh-CN"/>
              </w:rPr>
              <w:t>92</w:t>
            </w:r>
          </w:p>
        </w:tc>
      </w:tr>
    </w:tbl>
    <w:p>
      <w:pPr>
        <w:spacing w:line="360" w:lineRule="auto"/>
        <w:ind w:firstLine="643" w:firstLineChars="200"/>
        <w:rPr>
          <w:rFonts w:hint="default" w:ascii="仿宋" w:hAnsi="仿宋" w:eastAsia="仿宋" w:cs="仿宋"/>
          <w:b/>
          <w:sz w:val="32"/>
          <w:szCs w:val="32"/>
          <w:lang w:val="en-US" w:eastAsia="zh-CN"/>
        </w:rPr>
      </w:pPr>
      <w:r>
        <w:rPr>
          <w:rFonts w:hint="eastAsia" w:ascii="仿宋" w:hAnsi="仿宋" w:eastAsia="仿宋" w:cs="仿宋"/>
          <w:b/>
          <w:sz w:val="32"/>
          <w:szCs w:val="32"/>
          <w:lang w:val="en-US" w:eastAsia="zh-CN"/>
        </w:rPr>
        <w:t>3在校体验</w:t>
      </w:r>
    </w:p>
    <w:p>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为保证学生在校内有完善的生活、学习场所，学校积极营建</w:t>
      </w:r>
      <w:r>
        <w:rPr>
          <w:rFonts w:hint="eastAsia" w:ascii="仿宋" w:hAnsi="仿宋" w:eastAsia="仿宋" w:cs="仿宋"/>
          <w:sz w:val="32"/>
          <w:szCs w:val="32"/>
          <w:lang w:val="en-US" w:eastAsia="zh-CN"/>
        </w:rPr>
        <w:t>育人校园、</w:t>
      </w:r>
      <w:r>
        <w:rPr>
          <w:rFonts w:hint="eastAsia" w:ascii="仿宋" w:hAnsi="仿宋" w:eastAsia="仿宋" w:cs="仿宋"/>
          <w:sz w:val="32"/>
          <w:szCs w:val="32"/>
        </w:rPr>
        <w:t>和谐校园、</w:t>
      </w:r>
      <w:r>
        <w:rPr>
          <w:rFonts w:hint="eastAsia" w:ascii="仿宋" w:hAnsi="仿宋" w:eastAsia="仿宋" w:cs="仿宋"/>
          <w:sz w:val="32"/>
          <w:szCs w:val="32"/>
          <w:lang w:eastAsia="zh-CN"/>
        </w:rPr>
        <w:t>书香校园，引导学生求真、务实。</w:t>
      </w:r>
      <w:r>
        <w:rPr>
          <w:rFonts w:hint="eastAsia" w:ascii="仿宋" w:hAnsi="仿宋" w:eastAsia="仿宋" w:cs="仿宋"/>
          <w:sz w:val="32"/>
          <w:szCs w:val="32"/>
          <w:lang w:val="en-US" w:eastAsia="zh-CN"/>
        </w:rPr>
        <w:t>在教育教学中学校积极开展“一体化教学改革”，通过</w:t>
      </w:r>
      <w:r>
        <w:rPr>
          <w:rFonts w:hint="eastAsia" w:ascii="仿宋" w:hAnsi="仿宋" w:eastAsia="仿宋" w:cs="仿宋"/>
          <w:sz w:val="32"/>
          <w:szCs w:val="32"/>
          <w:lang w:eastAsia="zh-CN"/>
        </w:rPr>
        <w:t>合理精简整合、序化教学内容为核心，集知识、技能和态度于一体，运用多种教学方法和教学手段，不断提高课程教学质量。</w:t>
      </w:r>
    </w:p>
    <w:p>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学校校园文化建设特色鲜明，“校园文化节”“第二课堂”“教室文化建设”等活动丰富多彩。</w:t>
      </w:r>
      <w:r>
        <w:rPr>
          <w:rFonts w:hint="eastAsia" w:ascii="仿宋" w:hAnsi="仿宋" w:eastAsia="仿宋" w:cs="仿宋"/>
          <w:sz w:val="32"/>
          <w:szCs w:val="32"/>
          <w:lang w:eastAsia="zh-CN"/>
        </w:rPr>
        <w:t>在“第二课堂”中积极发展学生社团文化，目前有文学社、篮球队、微宣讲社团、拉丁舞社团等学生社团，同时每年定期举办校园文化艺术节、篮球赛、歌咏赛、拔河赛等活动，活动的开展成为了学生彰显个性、展示风采的良好舞台。</w:t>
      </w:r>
      <w:r>
        <w:rPr>
          <w:rFonts w:hint="eastAsia" w:ascii="仿宋" w:hAnsi="仿宋" w:eastAsia="仿宋" w:cs="仿宋"/>
          <w:sz w:val="32"/>
          <w:szCs w:val="32"/>
        </w:rPr>
        <w:t>完善的生活学习设施为学生的生活学习提供了坚实的保证</w:t>
      </w:r>
      <w:r>
        <w:rPr>
          <w:rFonts w:hint="eastAsia" w:ascii="仿宋" w:hAnsi="仿宋" w:eastAsia="仿宋" w:cs="仿宋"/>
          <w:sz w:val="32"/>
          <w:szCs w:val="32"/>
          <w:lang w:eastAsia="zh-CN"/>
        </w:rPr>
        <w:t>。</w:t>
      </w:r>
      <w:r>
        <w:rPr>
          <w:rFonts w:hint="eastAsia" w:ascii="仿宋" w:hAnsi="仿宋" w:eastAsia="仿宋" w:cs="仿宋"/>
          <w:sz w:val="32"/>
          <w:szCs w:val="32"/>
        </w:rPr>
        <w:t>经调查，学生对在校学习的满意度和生活的满意度均在90%以上</w:t>
      </w:r>
      <w:r>
        <w:rPr>
          <w:rFonts w:hint="eastAsia" w:ascii="仿宋" w:hAnsi="仿宋" w:eastAsia="仿宋" w:cs="仿宋"/>
          <w:sz w:val="32"/>
          <w:szCs w:val="32"/>
          <w:lang w:eastAsia="zh-CN"/>
        </w:rPr>
        <w:t>。</w:t>
      </w:r>
    </w:p>
    <w:p>
      <w:pPr>
        <w:adjustRightInd w:val="0"/>
        <w:snapToGrid w:val="0"/>
        <w:jc w:val="center"/>
        <w:outlineLvl w:val="2"/>
        <w:rPr>
          <w:rFonts w:hint="eastAsia" w:ascii="仿宋" w:hAnsi="仿宋" w:eastAsia="仿宋" w:cs="仿宋"/>
          <w:b/>
          <w:kern w:val="0"/>
          <w:sz w:val="28"/>
          <w:szCs w:val="28"/>
        </w:rPr>
      </w:pPr>
      <w:r>
        <w:rPr>
          <w:rFonts w:hint="eastAsia" w:ascii="仿宋" w:hAnsi="仿宋" w:eastAsia="仿宋" w:cs="仿宋"/>
          <w:b/>
          <w:kern w:val="0"/>
          <w:sz w:val="28"/>
          <w:szCs w:val="28"/>
        </w:rPr>
        <w:t>表</w:t>
      </w:r>
      <w:r>
        <w:rPr>
          <w:rFonts w:hint="eastAsia" w:ascii="仿宋" w:hAnsi="仿宋" w:eastAsia="仿宋" w:cs="仿宋"/>
          <w:b/>
          <w:kern w:val="0"/>
          <w:sz w:val="28"/>
          <w:szCs w:val="28"/>
          <w:lang w:val="en-US" w:eastAsia="zh-CN"/>
        </w:rPr>
        <w:t xml:space="preserve">3  </w:t>
      </w:r>
      <w:r>
        <w:rPr>
          <w:rFonts w:hint="eastAsia" w:ascii="仿宋" w:hAnsi="仿宋" w:eastAsia="仿宋" w:cs="仿宋"/>
          <w:b/>
          <w:kern w:val="0"/>
          <w:sz w:val="28"/>
          <w:szCs w:val="28"/>
        </w:rPr>
        <w:t>中等职业学校</w:t>
      </w:r>
      <w:r>
        <w:rPr>
          <w:rFonts w:hint="eastAsia" w:ascii="仿宋" w:hAnsi="仿宋" w:eastAsia="仿宋" w:cs="仿宋"/>
          <w:b/>
          <w:kern w:val="0"/>
          <w:sz w:val="28"/>
          <w:szCs w:val="28"/>
          <w:lang w:val="en-US" w:eastAsia="zh-CN"/>
        </w:rPr>
        <w:t>满意度</w:t>
      </w:r>
      <w:r>
        <w:rPr>
          <w:rFonts w:hint="eastAsia" w:ascii="仿宋" w:hAnsi="仿宋" w:eastAsia="仿宋" w:cs="仿宋"/>
          <w:b/>
          <w:kern w:val="0"/>
          <w:sz w:val="28"/>
          <w:szCs w:val="28"/>
        </w:rPr>
        <w:t>情况一览表</w:t>
      </w:r>
    </w:p>
    <w:tbl>
      <w:tblPr>
        <w:tblStyle w:val="15"/>
        <w:tblpPr w:leftFromText="180" w:rightFromText="180" w:vertAnchor="text" w:horzAnchor="margin" w:tblpXSpec="center" w:tblpY="173"/>
        <w:tblOverlap w:val="never"/>
        <w:tblW w:w="7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443"/>
        <w:gridCol w:w="1778"/>
        <w:gridCol w:w="1500"/>
        <w:gridCol w:w="1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6" w:type="dxa"/>
            <w:noWrap w:val="0"/>
            <w:vAlign w:val="center"/>
          </w:tcPr>
          <w:p>
            <w:pPr>
              <w:adjustRightInd w:val="0"/>
              <w:snapToGrid w:val="0"/>
              <w:spacing w:line="0" w:lineRule="atLeast"/>
              <w:jc w:val="center"/>
              <w:rPr>
                <w:rFonts w:hint="eastAsia"/>
                <w:b/>
                <w:bCs/>
                <w:sz w:val="18"/>
                <w:szCs w:val="18"/>
              </w:rPr>
            </w:pPr>
            <w:r>
              <w:rPr>
                <w:rFonts w:hint="eastAsia"/>
                <w:b/>
                <w:bCs/>
                <w:sz w:val="18"/>
                <w:szCs w:val="18"/>
              </w:rPr>
              <w:t>学年度</w:t>
            </w:r>
          </w:p>
        </w:tc>
        <w:tc>
          <w:tcPr>
            <w:tcW w:w="1443" w:type="dxa"/>
            <w:noWrap w:val="0"/>
            <w:vAlign w:val="center"/>
          </w:tcPr>
          <w:p>
            <w:pPr>
              <w:adjustRightInd w:val="0"/>
              <w:snapToGrid w:val="0"/>
              <w:spacing w:line="0" w:lineRule="atLeast"/>
              <w:jc w:val="center"/>
              <w:rPr>
                <w:rFonts w:hint="default" w:ascii="宋体" w:hAnsi="宋体" w:eastAsia="宋体"/>
                <w:b/>
                <w:bCs/>
                <w:sz w:val="18"/>
                <w:szCs w:val="18"/>
                <w:lang w:val="en-US" w:eastAsia="zh-CN"/>
              </w:rPr>
            </w:pPr>
            <w:r>
              <w:rPr>
                <w:rFonts w:hint="eastAsia" w:ascii="宋体" w:hAnsi="宋体"/>
                <w:b/>
                <w:bCs/>
                <w:sz w:val="18"/>
                <w:szCs w:val="18"/>
                <w:lang w:val="en-US" w:eastAsia="zh-CN"/>
              </w:rPr>
              <w:t>教学满意度（%）</w:t>
            </w:r>
          </w:p>
        </w:tc>
        <w:tc>
          <w:tcPr>
            <w:tcW w:w="1778" w:type="dxa"/>
            <w:noWrap w:val="0"/>
            <w:vAlign w:val="center"/>
          </w:tcPr>
          <w:p>
            <w:pPr>
              <w:adjustRightInd w:val="0"/>
              <w:snapToGrid w:val="0"/>
              <w:spacing w:line="0" w:lineRule="atLeast"/>
              <w:jc w:val="center"/>
              <w:rPr>
                <w:rFonts w:hint="default" w:ascii="宋体" w:hAnsi="宋体"/>
                <w:b/>
                <w:bCs/>
                <w:sz w:val="18"/>
                <w:szCs w:val="18"/>
                <w:lang w:val="en-US" w:eastAsia="zh-CN"/>
              </w:rPr>
            </w:pPr>
            <w:r>
              <w:rPr>
                <w:rFonts w:hint="eastAsia" w:ascii="宋体" w:hAnsi="宋体"/>
                <w:b/>
                <w:bCs/>
                <w:sz w:val="18"/>
                <w:szCs w:val="18"/>
                <w:lang w:val="en-US" w:eastAsia="zh-CN"/>
              </w:rPr>
              <w:t>校园生活满意度（%）</w:t>
            </w:r>
          </w:p>
        </w:tc>
        <w:tc>
          <w:tcPr>
            <w:tcW w:w="1500" w:type="dxa"/>
            <w:noWrap w:val="0"/>
            <w:vAlign w:val="center"/>
          </w:tcPr>
          <w:p>
            <w:pPr>
              <w:adjustRightInd w:val="0"/>
              <w:snapToGrid w:val="0"/>
              <w:spacing w:line="0" w:lineRule="atLeast"/>
              <w:jc w:val="center"/>
              <w:rPr>
                <w:rFonts w:hint="default" w:ascii="宋体" w:hAnsi="宋体" w:eastAsia="宋体"/>
                <w:b/>
                <w:bCs/>
                <w:sz w:val="18"/>
                <w:szCs w:val="18"/>
                <w:lang w:val="en-US" w:eastAsia="zh-CN"/>
              </w:rPr>
            </w:pPr>
            <w:r>
              <w:rPr>
                <w:rFonts w:hint="eastAsia" w:ascii="宋体" w:hAnsi="宋体"/>
                <w:b/>
                <w:bCs/>
                <w:sz w:val="18"/>
                <w:szCs w:val="18"/>
                <w:lang w:val="en-US" w:eastAsia="zh-CN"/>
              </w:rPr>
              <w:t>家长满意度（%）</w:t>
            </w:r>
          </w:p>
        </w:tc>
        <w:tc>
          <w:tcPr>
            <w:tcW w:w="1629" w:type="dxa"/>
            <w:noWrap w:val="0"/>
            <w:vAlign w:val="center"/>
          </w:tcPr>
          <w:p>
            <w:pPr>
              <w:adjustRightInd w:val="0"/>
              <w:snapToGrid w:val="0"/>
              <w:spacing w:line="0" w:lineRule="atLeast"/>
              <w:jc w:val="center"/>
              <w:rPr>
                <w:rFonts w:hint="default" w:ascii="宋体" w:hAnsi="宋体" w:eastAsia="宋体"/>
                <w:b/>
                <w:bCs/>
                <w:sz w:val="18"/>
                <w:szCs w:val="18"/>
                <w:lang w:val="en-US" w:eastAsia="zh-CN"/>
              </w:rPr>
            </w:pPr>
            <w:r>
              <w:rPr>
                <w:rFonts w:hint="eastAsia" w:ascii="宋体" w:hAnsi="宋体"/>
                <w:b/>
                <w:bCs/>
                <w:sz w:val="18"/>
                <w:szCs w:val="18"/>
                <w:lang w:val="en-US" w:eastAsia="zh-CN"/>
              </w:rPr>
              <w:t>毕业生满意度（%）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26" w:type="dxa"/>
            <w:tcBorders>
              <w:bottom w:val="single" w:color="auto" w:sz="4" w:space="0"/>
            </w:tcBorders>
            <w:noWrap w:val="0"/>
            <w:vAlign w:val="center"/>
          </w:tcPr>
          <w:p>
            <w:pPr>
              <w:spacing w:line="240" w:lineRule="atLeast"/>
              <w:jc w:val="center"/>
              <w:rPr>
                <w:rFonts w:hint="eastAsia" w:ascii="仿宋" w:hAnsi="仿宋" w:eastAsia="仿宋" w:cs="宋体"/>
                <w:b/>
                <w:sz w:val="18"/>
                <w:szCs w:val="18"/>
                <w:lang w:eastAsia="zh-CN"/>
              </w:rPr>
            </w:pPr>
            <w:r>
              <w:rPr>
                <w:rFonts w:hint="eastAsia" w:ascii="仿宋" w:hAnsi="仿宋" w:eastAsia="仿宋"/>
                <w:b/>
                <w:sz w:val="18"/>
                <w:szCs w:val="18"/>
              </w:rPr>
              <w:t>20</w:t>
            </w:r>
            <w:r>
              <w:rPr>
                <w:rFonts w:hint="eastAsia" w:ascii="仿宋" w:hAnsi="仿宋" w:eastAsia="仿宋"/>
                <w:b/>
                <w:sz w:val="18"/>
                <w:szCs w:val="18"/>
                <w:lang w:val="en-US" w:eastAsia="zh-CN"/>
              </w:rPr>
              <w:t>21</w:t>
            </w:r>
            <w:r>
              <w:rPr>
                <w:rFonts w:hint="eastAsia" w:ascii="仿宋" w:hAnsi="仿宋" w:eastAsia="仿宋"/>
                <w:b/>
                <w:sz w:val="18"/>
                <w:szCs w:val="18"/>
              </w:rPr>
              <w:t>～202</w:t>
            </w:r>
            <w:r>
              <w:rPr>
                <w:rFonts w:hint="eastAsia" w:ascii="仿宋" w:hAnsi="仿宋" w:eastAsia="仿宋"/>
                <w:b/>
                <w:sz w:val="18"/>
                <w:szCs w:val="18"/>
                <w:lang w:val="en-US" w:eastAsia="zh-CN"/>
              </w:rPr>
              <w:t>2</w:t>
            </w:r>
          </w:p>
        </w:tc>
        <w:tc>
          <w:tcPr>
            <w:tcW w:w="1443" w:type="dxa"/>
            <w:tcBorders>
              <w:bottom w:val="single" w:color="auto" w:sz="4" w:space="0"/>
            </w:tcBorders>
            <w:noWrap w:val="0"/>
            <w:vAlign w:val="center"/>
          </w:tcPr>
          <w:p>
            <w:pPr>
              <w:adjustRightInd w:val="0"/>
              <w:snapToGrid w:val="0"/>
              <w:spacing w:line="0" w:lineRule="atLeast"/>
              <w:jc w:val="center"/>
              <w:rPr>
                <w:rFonts w:hint="default" w:ascii="宋体" w:hAnsi="宋体" w:eastAsia="宋体"/>
                <w:szCs w:val="21"/>
                <w:lang w:val="en-US" w:eastAsia="zh-CN"/>
              </w:rPr>
            </w:pPr>
            <w:r>
              <w:rPr>
                <w:rFonts w:hint="eastAsia" w:ascii="宋体" w:hAnsi="宋体"/>
                <w:szCs w:val="21"/>
                <w:lang w:val="en-US" w:eastAsia="zh-CN"/>
              </w:rPr>
              <w:t>95</w:t>
            </w:r>
          </w:p>
        </w:tc>
        <w:tc>
          <w:tcPr>
            <w:tcW w:w="1778" w:type="dxa"/>
            <w:tcBorders>
              <w:bottom w:val="single" w:color="auto" w:sz="4" w:space="0"/>
            </w:tcBorders>
            <w:noWrap w:val="0"/>
            <w:vAlign w:val="center"/>
          </w:tcPr>
          <w:p>
            <w:pPr>
              <w:adjustRightInd w:val="0"/>
              <w:snapToGrid w:val="0"/>
              <w:spacing w:line="0" w:lineRule="atLeast"/>
              <w:jc w:val="center"/>
              <w:rPr>
                <w:rFonts w:hint="default" w:ascii="宋体" w:hAnsi="宋体" w:eastAsia="宋体"/>
                <w:szCs w:val="21"/>
                <w:lang w:val="en-US" w:eastAsia="zh-CN"/>
              </w:rPr>
            </w:pPr>
            <w:r>
              <w:rPr>
                <w:rFonts w:hint="eastAsia" w:ascii="宋体" w:hAnsi="宋体"/>
                <w:szCs w:val="21"/>
                <w:lang w:val="en-US" w:eastAsia="zh-CN"/>
              </w:rPr>
              <w:t>96</w:t>
            </w:r>
          </w:p>
        </w:tc>
        <w:tc>
          <w:tcPr>
            <w:tcW w:w="1500" w:type="dxa"/>
            <w:tcBorders>
              <w:bottom w:val="single" w:color="auto" w:sz="4" w:space="0"/>
            </w:tcBorders>
            <w:noWrap w:val="0"/>
            <w:vAlign w:val="center"/>
          </w:tcPr>
          <w:p>
            <w:pPr>
              <w:adjustRightInd w:val="0"/>
              <w:snapToGrid w:val="0"/>
              <w:spacing w:line="0" w:lineRule="atLeast"/>
              <w:jc w:val="center"/>
              <w:rPr>
                <w:rFonts w:hint="default" w:ascii="宋体" w:hAnsi="宋体" w:eastAsia="宋体"/>
                <w:szCs w:val="21"/>
                <w:lang w:val="en-US" w:eastAsia="zh-CN"/>
              </w:rPr>
            </w:pPr>
            <w:r>
              <w:rPr>
                <w:rFonts w:hint="eastAsia" w:ascii="宋体" w:hAnsi="宋体"/>
                <w:szCs w:val="21"/>
                <w:lang w:val="en-US" w:eastAsia="zh-CN"/>
              </w:rPr>
              <w:t>91.3</w:t>
            </w:r>
          </w:p>
        </w:tc>
        <w:tc>
          <w:tcPr>
            <w:tcW w:w="1629" w:type="dxa"/>
            <w:tcBorders>
              <w:bottom w:val="single" w:color="auto" w:sz="4" w:space="0"/>
            </w:tcBorders>
            <w:noWrap w:val="0"/>
            <w:vAlign w:val="center"/>
          </w:tcPr>
          <w:p>
            <w:pPr>
              <w:adjustRightInd w:val="0"/>
              <w:snapToGrid w:val="0"/>
              <w:spacing w:line="0" w:lineRule="atLeast"/>
              <w:jc w:val="center"/>
              <w:rPr>
                <w:rFonts w:hint="default" w:ascii="宋体" w:hAnsi="宋体" w:eastAsia="宋体"/>
                <w:szCs w:val="21"/>
                <w:lang w:val="en-US" w:eastAsia="zh-CN"/>
              </w:rPr>
            </w:pPr>
            <w:r>
              <w:rPr>
                <w:rFonts w:hint="eastAsia" w:ascii="宋体" w:hAnsi="宋体"/>
                <w:szCs w:val="21"/>
                <w:lang w:val="en-US" w:eastAsia="zh-CN"/>
              </w:rPr>
              <w:t>93.7</w:t>
            </w:r>
          </w:p>
        </w:tc>
      </w:tr>
    </w:tbl>
    <w:p>
      <w:pPr>
        <w:spacing w:line="360" w:lineRule="auto"/>
        <w:rPr>
          <w:rFonts w:hint="eastAsia" w:ascii="仿宋" w:hAnsi="仿宋" w:eastAsia="仿宋" w:cs="仿宋"/>
          <w:b/>
          <w:bCs/>
          <w:sz w:val="32"/>
          <w:szCs w:val="32"/>
          <w:lang w:val="en-US" w:eastAsia="zh-CN"/>
        </w:rPr>
      </w:pPr>
      <w:r>
        <w:rPr>
          <w:rFonts w:hint="eastAsia"/>
        </w:rPr>
        <w:t xml:space="preserve">  </w:t>
      </w: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w:t>
      </w:r>
      <w:r>
        <w:rPr>
          <w:rFonts w:hint="eastAsia" w:ascii="仿宋" w:hAnsi="仿宋" w:eastAsia="仿宋" w:cs="仿宋"/>
          <w:b/>
          <w:bCs/>
          <w:sz w:val="32"/>
          <w:szCs w:val="32"/>
          <w:lang w:val="en-US" w:eastAsia="zh-CN"/>
        </w:rPr>
        <w:t>4就业质量</w:t>
      </w:r>
    </w:p>
    <w:p>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学校重视学生的就业工作，成立校企合作办公室专项负责学生的就业安置工作，定期召开企业、学校双选会，安排学生分期分批进行顶岗实习、跟岗实习和对口就业工作。近年来伴随校企合作的深入开展，学生的就业技能水平明显提升，就业质量显著提高。</w:t>
      </w:r>
    </w:p>
    <w:p>
      <w:pPr>
        <w:widowControl/>
        <w:numPr>
          <w:ilvl w:val="0"/>
          <w:numId w:val="0"/>
        </w:numPr>
        <w:spacing w:line="360" w:lineRule="auto"/>
        <w:ind w:firstLine="640" w:firstLineChars="200"/>
        <w:jc w:val="left"/>
        <w:textAlignment w:val="center"/>
        <w:rPr>
          <w:rFonts w:hint="eastAsia" w:ascii="仿宋" w:hAnsi="仿宋" w:eastAsia="仿宋" w:cs="仿宋"/>
          <w:color w:val="000000"/>
          <w:kern w:val="0"/>
          <w:sz w:val="32"/>
          <w:szCs w:val="32"/>
          <w:lang w:val="en-US" w:eastAsia="zh-CN" w:bidi="ar"/>
        </w:rPr>
      </w:pPr>
      <w:r>
        <w:rPr>
          <w:rFonts w:hint="eastAsia" w:ascii="仿宋" w:hAnsi="仿宋" w:eastAsia="仿宋" w:cs="仿宋"/>
          <w:sz w:val="32"/>
          <w:szCs w:val="32"/>
          <w:lang w:val="en-US" w:eastAsia="zh-CN"/>
        </w:rPr>
        <w:t>（1）开展</w:t>
      </w:r>
      <w:r>
        <w:rPr>
          <w:rFonts w:hint="eastAsia" w:ascii="仿宋" w:hAnsi="仿宋" w:eastAsia="仿宋" w:cs="仿宋"/>
          <w:sz w:val="32"/>
          <w:szCs w:val="32"/>
          <w:lang w:eastAsia="zh-CN"/>
        </w:rPr>
        <w:t>职业指导</w:t>
      </w:r>
      <w:r>
        <w:rPr>
          <w:rFonts w:hint="eastAsia" w:ascii="仿宋" w:hAnsi="仿宋" w:eastAsia="仿宋" w:cs="仿宋"/>
          <w:sz w:val="32"/>
          <w:szCs w:val="32"/>
          <w:lang w:val="en-US" w:eastAsia="zh-CN"/>
        </w:rPr>
        <w:t>工作，提升学生就业能力。学校通过开展“</w:t>
      </w:r>
      <w:r>
        <w:rPr>
          <w:rFonts w:hint="eastAsia" w:ascii="仿宋" w:hAnsi="仿宋" w:eastAsia="仿宋" w:cs="仿宋"/>
          <w:sz w:val="32"/>
          <w:szCs w:val="32"/>
        </w:rPr>
        <w:t>职业规划和就业指导交流分享会</w:t>
      </w:r>
      <w:r>
        <w:rPr>
          <w:rFonts w:hint="eastAsia" w:ascii="仿宋" w:hAnsi="仿宋" w:eastAsia="仿宋" w:cs="仿宋"/>
          <w:sz w:val="32"/>
          <w:szCs w:val="32"/>
          <w:lang w:eastAsia="zh-CN"/>
        </w:rPr>
        <w:t>”、“</w:t>
      </w:r>
      <w:r>
        <w:rPr>
          <w:rFonts w:hint="eastAsia" w:ascii="仿宋" w:hAnsi="仿宋" w:eastAsia="仿宋" w:cs="仿宋"/>
          <w:color w:val="000000"/>
          <w:kern w:val="0"/>
          <w:sz w:val="32"/>
          <w:szCs w:val="32"/>
          <w:lang w:bidi="ar"/>
        </w:rPr>
        <w:t>匠心筑梦想、技能赢天下</w:t>
      </w:r>
      <w:r>
        <w:rPr>
          <w:rFonts w:hint="eastAsia" w:ascii="仿宋" w:hAnsi="仿宋" w:eastAsia="仿宋" w:cs="仿宋"/>
          <w:color w:val="000000"/>
          <w:kern w:val="0"/>
          <w:sz w:val="32"/>
          <w:szCs w:val="32"/>
          <w:lang w:eastAsia="zh-CN" w:bidi="ar"/>
        </w:rPr>
        <w:t>”、“</w:t>
      </w:r>
      <w:r>
        <w:rPr>
          <w:rFonts w:hint="eastAsia" w:ascii="仿宋" w:hAnsi="仿宋" w:eastAsia="仿宋" w:cs="仿宋"/>
          <w:bCs/>
          <w:color w:val="000000"/>
          <w:kern w:val="0"/>
          <w:sz w:val="32"/>
          <w:szCs w:val="32"/>
          <w:lang w:bidi="ar"/>
        </w:rPr>
        <w:t>模拟职业体验观摩活动</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sz w:val="32"/>
          <w:szCs w:val="32"/>
        </w:rPr>
        <w:t>学生赴企业进行短期实践训练活动</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val="en-US" w:eastAsia="zh-CN" w:bidi="ar"/>
        </w:rPr>
        <w:t>等活动，让学生深入一线企业，提高其岗位认知能力，提升其就业能力。</w:t>
      </w:r>
    </w:p>
    <w:p>
      <w:pPr>
        <w:spacing w:line="640" w:lineRule="exact"/>
        <w:ind w:firstLine="640" w:firstLineChars="200"/>
        <w:rPr>
          <w:rFonts w:hint="eastAsia" w:ascii="仿宋" w:hAnsi="仿宋" w:eastAsia="仿宋" w:cs="仿宋"/>
          <w:sz w:val="32"/>
          <w:szCs w:val="32"/>
          <w:lang w:eastAsia="zh-CN"/>
        </w:rPr>
      </w:pPr>
      <w:r>
        <w:rPr>
          <w:rFonts w:hint="eastAsia" w:ascii="仿宋" w:hAnsi="仿宋" w:eastAsia="仿宋" w:cs="仿宋"/>
          <w:color w:val="000000"/>
          <w:kern w:val="0"/>
          <w:sz w:val="32"/>
          <w:szCs w:val="32"/>
          <w:lang w:val="en-US" w:eastAsia="zh-CN" w:bidi="ar"/>
        </w:rPr>
        <w:t>（2）完善就业工作程序，提升实习服务质量。一是校企合作</w:t>
      </w:r>
      <w:r>
        <w:rPr>
          <w:rFonts w:hint="eastAsia" w:ascii="仿宋" w:hAnsi="仿宋" w:eastAsia="仿宋" w:cs="仿宋"/>
          <w:sz w:val="32"/>
          <w:szCs w:val="32"/>
        </w:rPr>
        <w:t>办公室对外与用人单位沟通交流，各班主任做好毕业生就业指导工作和就业信息的传达</w:t>
      </w:r>
      <w:r>
        <w:rPr>
          <w:rFonts w:hint="eastAsia" w:ascii="仿宋" w:hAnsi="仿宋" w:eastAsia="仿宋" w:cs="仿宋"/>
          <w:sz w:val="32"/>
          <w:szCs w:val="32"/>
          <w:lang w:eastAsia="zh-CN"/>
        </w:rPr>
        <w:t>；</w:t>
      </w:r>
      <w:r>
        <w:rPr>
          <w:rFonts w:hint="eastAsia" w:ascii="仿宋" w:hAnsi="仿宋" w:eastAsia="仿宋" w:cs="仿宋"/>
          <w:sz w:val="32"/>
          <w:szCs w:val="32"/>
        </w:rPr>
        <w:t>二是</w:t>
      </w:r>
      <w:r>
        <w:rPr>
          <w:rFonts w:hint="eastAsia" w:ascii="仿宋" w:hAnsi="仿宋" w:eastAsia="仿宋" w:cs="仿宋"/>
          <w:sz w:val="32"/>
          <w:szCs w:val="32"/>
          <w:lang w:val="en-US" w:eastAsia="zh-CN"/>
        </w:rPr>
        <w:t>学校制定了校企合作规章制度</w:t>
      </w:r>
      <w:r>
        <w:rPr>
          <w:rFonts w:hint="eastAsia" w:ascii="仿宋" w:hAnsi="仿宋" w:eastAsia="仿宋" w:cs="仿宋"/>
          <w:sz w:val="32"/>
          <w:szCs w:val="32"/>
        </w:rPr>
        <w:t>，遵守实习就业工作程序，确保工作畅通有效</w:t>
      </w:r>
      <w:r>
        <w:rPr>
          <w:rFonts w:hint="eastAsia" w:ascii="仿宋" w:hAnsi="仿宋" w:eastAsia="仿宋" w:cs="仿宋"/>
          <w:sz w:val="32"/>
          <w:szCs w:val="32"/>
          <w:lang w:eastAsia="zh-CN"/>
        </w:rPr>
        <w:t>；</w:t>
      </w:r>
      <w:r>
        <w:rPr>
          <w:rFonts w:hint="eastAsia" w:ascii="仿宋" w:hAnsi="仿宋" w:eastAsia="仿宋" w:cs="仿宋"/>
          <w:sz w:val="32"/>
          <w:szCs w:val="32"/>
        </w:rPr>
        <w:t>三是加强指导</w:t>
      </w:r>
      <w:r>
        <w:rPr>
          <w:rFonts w:hint="eastAsia" w:ascii="仿宋" w:hAnsi="仿宋" w:eastAsia="仿宋" w:cs="仿宋"/>
          <w:sz w:val="32"/>
          <w:szCs w:val="32"/>
          <w:lang w:eastAsia="zh-CN"/>
        </w:rPr>
        <w:t>、</w:t>
      </w:r>
      <w:r>
        <w:rPr>
          <w:rFonts w:hint="eastAsia" w:ascii="仿宋" w:hAnsi="仿宋" w:eastAsia="仿宋" w:cs="仿宋"/>
          <w:sz w:val="32"/>
          <w:szCs w:val="32"/>
        </w:rPr>
        <w:t>跟踪服务。召开学生顶岗实习就业动员大会，积极宣传学校关于顶岗实习的管理规定、原则和政策。组织校园</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双选会</w:t>
      </w:r>
      <w:r>
        <w:rPr>
          <w:rFonts w:hint="eastAsia" w:ascii="仿宋" w:hAnsi="仿宋" w:eastAsia="仿宋" w:cs="仿宋"/>
          <w:sz w:val="32"/>
          <w:szCs w:val="32"/>
          <w:lang w:eastAsia="zh-CN"/>
        </w:rPr>
        <w:t>”，</w:t>
      </w:r>
      <w:r>
        <w:rPr>
          <w:rFonts w:hint="eastAsia" w:ascii="仿宋" w:hAnsi="仿宋" w:eastAsia="仿宋" w:cs="仿宋"/>
          <w:sz w:val="32"/>
          <w:szCs w:val="32"/>
        </w:rPr>
        <w:t>保障学生专业对口顶岗实习</w:t>
      </w:r>
      <w:r>
        <w:rPr>
          <w:rFonts w:hint="eastAsia" w:ascii="仿宋" w:hAnsi="仿宋" w:eastAsia="仿宋" w:cs="仿宋"/>
          <w:sz w:val="32"/>
          <w:szCs w:val="32"/>
          <w:lang w:eastAsia="zh-CN"/>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156" w:afterLines="50"/>
        <w:ind w:firstLine="562" w:firstLineChars="200"/>
        <w:jc w:val="center"/>
        <w:outlineLvl w:val="2"/>
        <w:rPr>
          <w:rFonts w:hint="eastAsia" w:ascii="仿宋" w:hAnsi="仿宋" w:eastAsia="仿宋" w:cs="仿宋"/>
          <w:b/>
          <w:sz w:val="28"/>
          <w:szCs w:val="28"/>
        </w:rPr>
      </w:pPr>
      <w:r>
        <w:rPr>
          <w:rFonts w:hint="eastAsia" w:ascii="仿宋" w:hAnsi="仿宋" w:eastAsia="仿宋" w:cs="仿宋"/>
          <w:b/>
          <w:sz w:val="28"/>
          <w:szCs w:val="28"/>
        </w:rPr>
        <w:t>表</w:t>
      </w:r>
      <w:r>
        <w:rPr>
          <w:rFonts w:hint="eastAsia" w:ascii="仿宋" w:hAnsi="仿宋" w:eastAsia="仿宋" w:cs="仿宋"/>
          <w:b/>
          <w:sz w:val="28"/>
          <w:szCs w:val="28"/>
          <w:lang w:val="en-US" w:eastAsia="zh-CN"/>
        </w:rPr>
        <w:t>4</w:t>
      </w:r>
      <w:r>
        <w:rPr>
          <w:rFonts w:hint="eastAsia" w:ascii="仿宋" w:hAnsi="仿宋" w:eastAsia="仿宋" w:cs="仿宋"/>
          <w:b/>
          <w:sz w:val="28"/>
          <w:szCs w:val="28"/>
        </w:rPr>
        <w:t xml:space="preserve"> </w:t>
      </w: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rPr>
        <w:t>近两年中等职业学校毕业生就业情况一览表</w:t>
      </w:r>
    </w:p>
    <w:tbl>
      <w:tblPr>
        <w:tblStyle w:val="15"/>
        <w:tblW w:w="10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966"/>
        <w:gridCol w:w="664"/>
        <w:gridCol w:w="1033"/>
        <w:gridCol w:w="1100"/>
        <w:gridCol w:w="1334"/>
        <w:gridCol w:w="750"/>
        <w:gridCol w:w="883"/>
        <w:gridCol w:w="726"/>
        <w:gridCol w:w="898"/>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84" w:type="dxa"/>
            <w:vMerge w:val="restart"/>
            <w:noWrap w:val="0"/>
            <w:vAlign w:val="center"/>
          </w:tcPr>
          <w:p>
            <w:pPr>
              <w:adjustRightInd w:val="0"/>
              <w:snapToGrid w:val="0"/>
              <w:spacing w:line="240" w:lineRule="exact"/>
              <w:jc w:val="center"/>
              <w:rPr>
                <w:rFonts w:ascii="宋体" w:hAnsi="宋体"/>
                <w:b/>
                <w:bCs/>
                <w:sz w:val="18"/>
                <w:szCs w:val="18"/>
              </w:rPr>
            </w:pPr>
            <w:r>
              <w:rPr>
                <w:rFonts w:hint="eastAsia" w:ascii="宋体" w:hAnsi="宋体"/>
                <w:b/>
                <w:bCs/>
                <w:sz w:val="18"/>
                <w:szCs w:val="18"/>
              </w:rPr>
              <w:t>学年度</w:t>
            </w:r>
          </w:p>
        </w:tc>
        <w:tc>
          <w:tcPr>
            <w:tcW w:w="966" w:type="dxa"/>
            <w:vMerge w:val="restart"/>
            <w:noWrap w:val="0"/>
            <w:vAlign w:val="center"/>
          </w:tcPr>
          <w:p>
            <w:pPr>
              <w:adjustRightInd w:val="0"/>
              <w:snapToGrid w:val="0"/>
              <w:spacing w:line="240" w:lineRule="exact"/>
              <w:rPr>
                <w:rFonts w:ascii="宋体" w:hAnsi="宋体"/>
                <w:b/>
                <w:bCs/>
                <w:sz w:val="18"/>
                <w:szCs w:val="18"/>
              </w:rPr>
            </w:pPr>
            <w:r>
              <w:rPr>
                <w:rFonts w:hint="eastAsia" w:ascii="宋体" w:hAnsi="宋体"/>
                <w:b/>
                <w:bCs/>
                <w:sz w:val="18"/>
                <w:szCs w:val="18"/>
              </w:rPr>
              <w:t>毕业生（人）</w:t>
            </w:r>
          </w:p>
        </w:tc>
        <w:tc>
          <w:tcPr>
            <w:tcW w:w="4131" w:type="dxa"/>
            <w:gridSpan w:val="4"/>
            <w:noWrap w:val="0"/>
            <w:vAlign w:val="center"/>
          </w:tcPr>
          <w:p>
            <w:pPr>
              <w:adjustRightInd w:val="0"/>
              <w:snapToGrid w:val="0"/>
              <w:spacing w:line="240" w:lineRule="exact"/>
              <w:jc w:val="center"/>
              <w:rPr>
                <w:rFonts w:hint="eastAsia" w:ascii="宋体" w:hAnsi="宋体"/>
                <w:b/>
                <w:bCs/>
                <w:sz w:val="18"/>
                <w:szCs w:val="18"/>
              </w:rPr>
            </w:pPr>
            <w:r>
              <w:rPr>
                <w:rFonts w:hint="eastAsia" w:ascii="宋体" w:hAnsi="宋体"/>
                <w:b/>
                <w:bCs/>
                <w:sz w:val="18"/>
                <w:szCs w:val="18"/>
              </w:rPr>
              <w:t>毕业生就业</w:t>
            </w:r>
          </w:p>
        </w:tc>
        <w:tc>
          <w:tcPr>
            <w:tcW w:w="1633" w:type="dxa"/>
            <w:gridSpan w:val="2"/>
            <w:noWrap w:val="0"/>
            <w:vAlign w:val="center"/>
          </w:tcPr>
          <w:p>
            <w:pPr>
              <w:adjustRightInd w:val="0"/>
              <w:snapToGrid w:val="0"/>
              <w:spacing w:line="240" w:lineRule="exact"/>
              <w:jc w:val="center"/>
              <w:rPr>
                <w:rFonts w:ascii="宋体" w:hAnsi="宋体"/>
                <w:b/>
                <w:bCs/>
                <w:sz w:val="18"/>
                <w:szCs w:val="18"/>
              </w:rPr>
            </w:pPr>
            <w:r>
              <w:rPr>
                <w:rFonts w:hint="eastAsia" w:ascii="宋体" w:hAnsi="宋体"/>
                <w:b/>
                <w:bCs/>
                <w:sz w:val="18"/>
                <w:szCs w:val="18"/>
              </w:rPr>
              <w:t>升入高等学校</w:t>
            </w:r>
          </w:p>
        </w:tc>
        <w:tc>
          <w:tcPr>
            <w:tcW w:w="726" w:type="dxa"/>
            <w:vMerge w:val="restart"/>
            <w:noWrap w:val="0"/>
            <w:vAlign w:val="top"/>
          </w:tcPr>
          <w:p>
            <w:pPr>
              <w:adjustRightInd w:val="0"/>
              <w:snapToGrid w:val="0"/>
              <w:spacing w:line="240" w:lineRule="exact"/>
              <w:jc w:val="center"/>
              <w:rPr>
                <w:rFonts w:hint="eastAsia" w:ascii="宋体" w:hAnsi="宋体"/>
                <w:b/>
                <w:bCs/>
                <w:sz w:val="18"/>
                <w:szCs w:val="18"/>
              </w:rPr>
            </w:pPr>
            <w:r>
              <w:rPr>
                <w:rFonts w:hint="eastAsia" w:ascii="宋体" w:hAnsi="宋体"/>
                <w:b/>
                <w:bCs/>
                <w:sz w:val="18"/>
                <w:szCs w:val="18"/>
              </w:rPr>
              <w:t>初次就业起薪（元/月）</w:t>
            </w:r>
          </w:p>
        </w:tc>
        <w:tc>
          <w:tcPr>
            <w:tcW w:w="898" w:type="dxa"/>
            <w:vMerge w:val="restart"/>
            <w:noWrap w:val="0"/>
            <w:vAlign w:val="top"/>
          </w:tcPr>
          <w:p>
            <w:pPr>
              <w:adjustRightInd w:val="0"/>
              <w:snapToGrid w:val="0"/>
              <w:spacing w:line="240" w:lineRule="exact"/>
              <w:jc w:val="center"/>
              <w:rPr>
                <w:rFonts w:hint="default" w:ascii="宋体" w:hAnsi="宋体" w:eastAsia="宋体"/>
                <w:b/>
                <w:bCs/>
                <w:sz w:val="18"/>
                <w:szCs w:val="18"/>
                <w:lang w:val="en-US" w:eastAsia="zh-CN"/>
              </w:rPr>
            </w:pPr>
            <w:r>
              <w:rPr>
                <w:rFonts w:hint="eastAsia" w:ascii="宋体" w:hAnsi="宋体"/>
                <w:b/>
                <w:bCs/>
                <w:sz w:val="18"/>
                <w:szCs w:val="18"/>
                <w:lang w:val="en-US" w:eastAsia="zh-CN"/>
              </w:rPr>
              <w:t>创业人数</w:t>
            </w:r>
          </w:p>
        </w:tc>
        <w:tc>
          <w:tcPr>
            <w:tcW w:w="898" w:type="dxa"/>
            <w:vMerge w:val="restart"/>
            <w:noWrap w:val="0"/>
            <w:vAlign w:val="top"/>
          </w:tcPr>
          <w:p>
            <w:pPr>
              <w:adjustRightInd w:val="0"/>
              <w:snapToGrid w:val="0"/>
              <w:spacing w:line="240" w:lineRule="exact"/>
              <w:jc w:val="center"/>
              <w:rPr>
                <w:rFonts w:hint="default" w:ascii="宋体" w:hAnsi="宋体"/>
                <w:b/>
                <w:bCs/>
                <w:sz w:val="18"/>
                <w:szCs w:val="18"/>
                <w:lang w:val="en-US" w:eastAsia="zh-CN"/>
              </w:rPr>
            </w:pPr>
            <w:r>
              <w:rPr>
                <w:rFonts w:hint="eastAsia" w:ascii="宋体" w:hAnsi="宋体"/>
                <w:b/>
                <w:bCs/>
                <w:sz w:val="18"/>
                <w:szCs w:val="18"/>
                <w:lang w:val="en-US" w:eastAsia="zh-CN"/>
              </w:rPr>
              <w:t>创业率</w:t>
            </w:r>
            <w:r>
              <w:rPr>
                <w:rFonts w:hint="eastAsia" w:ascii="宋体" w:hAnsi="宋体"/>
                <w:b/>
                <w:bCs/>
                <w:sz w:val="18"/>
                <w:szCs w:val="18"/>
              </w:rPr>
              <w:t>（</w:t>
            </w:r>
            <w:r>
              <w:rPr>
                <w:rFonts w:ascii="宋体" w:hAnsi="宋体"/>
                <w:b/>
                <w:bCs/>
                <w:sz w:val="18"/>
                <w:szCs w:val="18"/>
              </w:rPr>
              <w:t>%</w:t>
            </w:r>
            <w:r>
              <w:rPr>
                <w:rFonts w:hint="eastAsia" w:ascii="宋体" w:hAnsi="宋体"/>
                <w:b/>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1184" w:type="dxa"/>
            <w:vMerge w:val="continue"/>
            <w:noWrap w:val="0"/>
            <w:vAlign w:val="center"/>
          </w:tcPr>
          <w:p>
            <w:pPr>
              <w:adjustRightInd w:val="0"/>
              <w:snapToGrid w:val="0"/>
              <w:spacing w:line="240" w:lineRule="exact"/>
              <w:jc w:val="center"/>
              <w:rPr>
                <w:rFonts w:hint="eastAsia" w:ascii="宋体" w:hAnsi="宋体"/>
                <w:b/>
                <w:bCs/>
                <w:sz w:val="18"/>
                <w:szCs w:val="18"/>
              </w:rPr>
            </w:pPr>
          </w:p>
        </w:tc>
        <w:tc>
          <w:tcPr>
            <w:tcW w:w="966" w:type="dxa"/>
            <w:vMerge w:val="continue"/>
            <w:noWrap w:val="0"/>
            <w:vAlign w:val="center"/>
          </w:tcPr>
          <w:p>
            <w:pPr>
              <w:adjustRightInd w:val="0"/>
              <w:snapToGrid w:val="0"/>
              <w:spacing w:line="240" w:lineRule="exact"/>
              <w:jc w:val="center"/>
              <w:rPr>
                <w:rFonts w:hint="eastAsia" w:ascii="宋体" w:hAnsi="宋体"/>
                <w:b/>
                <w:bCs/>
                <w:sz w:val="18"/>
                <w:szCs w:val="18"/>
              </w:rPr>
            </w:pPr>
          </w:p>
        </w:tc>
        <w:tc>
          <w:tcPr>
            <w:tcW w:w="664" w:type="dxa"/>
            <w:noWrap w:val="0"/>
            <w:vAlign w:val="center"/>
          </w:tcPr>
          <w:p>
            <w:pPr>
              <w:adjustRightInd w:val="0"/>
              <w:snapToGrid w:val="0"/>
              <w:spacing w:line="240" w:lineRule="exact"/>
              <w:jc w:val="center"/>
              <w:rPr>
                <w:rFonts w:hint="eastAsia" w:ascii="宋体" w:hAnsi="宋体"/>
                <w:b/>
                <w:bCs/>
                <w:sz w:val="18"/>
                <w:szCs w:val="18"/>
              </w:rPr>
            </w:pPr>
            <w:r>
              <w:rPr>
                <w:rFonts w:hint="eastAsia" w:ascii="宋体" w:hAnsi="宋体"/>
                <w:b/>
                <w:bCs/>
                <w:sz w:val="18"/>
                <w:szCs w:val="18"/>
              </w:rPr>
              <w:t>人数</w:t>
            </w:r>
          </w:p>
        </w:tc>
        <w:tc>
          <w:tcPr>
            <w:tcW w:w="1033" w:type="dxa"/>
            <w:noWrap w:val="0"/>
            <w:vAlign w:val="center"/>
          </w:tcPr>
          <w:p>
            <w:pPr>
              <w:adjustRightInd w:val="0"/>
              <w:snapToGrid w:val="0"/>
              <w:spacing w:line="240" w:lineRule="exact"/>
              <w:jc w:val="center"/>
              <w:rPr>
                <w:rFonts w:hint="eastAsia" w:ascii="宋体" w:hAnsi="宋体"/>
                <w:b/>
                <w:bCs/>
                <w:sz w:val="18"/>
                <w:szCs w:val="18"/>
              </w:rPr>
            </w:pPr>
            <w:r>
              <w:rPr>
                <w:rFonts w:hint="eastAsia" w:ascii="宋体" w:hAnsi="宋体"/>
                <w:b/>
                <w:bCs/>
                <w:sz w:val="18"/>
                <w:szCs w:val="18"/>
              </w:rPr>
              <w:t>就业率</w:t>
            </w:r>
          </w:p>
          <w:p>
            <w:pPr>
              <w:adjustRightInd w:val="0"/>
              <w:snapToGrid w:val="0"/>
              <w:spacing w:line="240" w:lineRule="exact"/>
              <w:jc w:val="center"/>
              <w:rPr>
                <w:rFonts w:hint="eastAsia" w:ascii="宋体" w:hAnsi="宋体"/>
                <w:b/>
                <w:bCs/>
                <w:sz w:val="18"/>
                <w:szCs w:val="18"/>
              </w:rPr>
            </w:pPr>
            <w:r>
              <w:rPr>
                <w:rFonts w:hint="eastAsia" w:ascii="宋体" w:hAnsi="宋体"/>
                <w:b/>
                <w:bCs/>
                <w:sz w:val="18"/>
                <w:szCs w:val="18"/>
              </w:rPr>
              <w:t>（</w:t>
            </w:r>
            <w:r>
              <w:rPr>
                <w:rFonts w:ascii="宋体" w:hAnsi="宋体"/>
                <w:b/>
                <w:bCs/>
                <w:sz w:val="18"/>
                <w:szCs w:val="18"/>
              </w:rPr>
              <w:t>%</w:t>
            </w:r>
            <w:r>
              <w:rPr>
                <w:rFonts w:hint="eastAsia" w:ascii="宋体" w:hAnsi="宋体"/>
                <w:b/>
                <w:bCs/>
                <w:sz w:val="18"/>
                <w:szCs w:val="18"/>
              </w:rPr>
              <w:t>）</w:t>
            </w:r>
          </w:p>
        </w:tc>
        <w:tc>
          <w:tcPr>
            <w:tcW w:w="1100" w:type="dxa"/>
            <w:noWrap w:val="0"/>
            <w:vAlign w:val="center"/>
          </w:tcPr>
          <w:p>
            <w:pPr>
              <w:adjustRightInd w:val="0"/>
              <w:snapToGrid w:val="0"/>
              <w:spacing w:line="240" w:lineRule="exact"/>
              <w:jc w:val="center"/>
              <w:rPr>
                <w:rFonts w:hint="default" w:ascii="宋体" w:hAnsi="宋体" w:eastAsia="宋体"/>
                <w:b/>
                <w:bCs/>
                <w:sz w:val="18"/>
                <w:szCs w:val="18"/>
                <w:lang w:val="en-US" w:eastAsia="zh-CN"/>
              </w:rPr>
            </w:pPr>
            <w:r>
              <w:rPr>
                <w:rFonts w:hint="eastAsia" w:ascii="宋体" w:hAnsi="宋体"/>
                <w:b/>
                <w:bCs/>
                <w:sz w:val="18"/>
                <w:szCs w:val="18"/>
                <w:lang w:val="en-US" w:eastAsia="zh-CN"/>
              </w:rPr>
              <w:t>对口就业人数</w:t>
            </w:r>
          </w:p>
        </w:tc>
        <w:tc>
          <w:tcPr>
            <w:tcW w:w="1334" w:type="dxa"/>
            <w:noWrap w:val="0"/>
            <w:vAlign w:val="center"/>
          </w:tcPr>
          <w:p>
            <w:pPr>
              <w:adjustRightInd w:val="0"/>
              <w:snapToGrid w:val="0"/>
              <w:spacing w:line="240" w:lineRule="exact"/>
              <w:jc w:val="center"/>
              <w:rPr>
                <w:rFonts w:hint="eastAsia" w:ascii="宋体" w:hAnsi="宋体"/>
                <w:b/>
                <w:bCs/>
                <w:sz w:val="18"/>
                <w:szCs w:val="18"/>
              </w:rPr>
            </w:pPr>
            <w:r>
              <w:rPr>
                <w:rFonts w:hint="eastAsia" w:ascii="宋体" w:hAnsi="宋体"/>
                <w:b/>
                <w:bCs/>
                <w:sz w:val="18"/>
                <w:szCs w:val="18"/>
              </w:rPr>
              <w:t>对口就业率（</w:t>
            </w:r>
            <w:r>
              <w:rPr>
                <w:rFonts w:ascii="宋体" w:hAnsi="宋体"/>
                <w:b/>
                <w:bCs/>
                <w:sz w:val="18"/>
                <w:szCs w:val="18"/>
              </w:rPr>
              <w:t>%</w:t>
            </w:r>
            <w:r>
              <w:rPr>
                <w:rFonts w:hint="eastAsia" w:ascii="宋体" w:hAnsi="宋体"/>
                <w:b/>
                <w:bCs/>
                <w:sz w:val="18"/>
                <w:szCs w:val="18"/>
              </w:rPr>
              <w:t>）</w:t>
            </w:r>
          </w:p>
        </w:tc>
        <w:tc>
          <w:tcPr>
            <w:tcW w:w="750" w:type="dxa"/>
            <w:noWrap w:val="0"/>
            <w:vAlign w:val="center"/>
          </w:tcPr>
          <w:p>
            <w:pPr>
              <w:adjustRightInd w:val="0"/>
              <w:snapToGrid w:val="0"/>
              <w:spacing w:line="240" w:lineRule="exact"/>
              <w:jc w:val="center"/>
              <w:rPr>
                <w:rFonts w:hint="eastAsia" w:ascii="宋体" w:hAnsi="宋体"/>
                <w:b/>
                <w:bCs/>
                <w:sz w:val="18"/>
                <w:szCs w:val="18"/>
              </w:rPr>
            </w:pPr>
            <w:r>
              <w:rPr>
                <w:rFonts w:hint="eastAsia" w:ascii="宋体" w:hAnsi="宋体"/>
                <w:b/>
                <w:bCs/>
                <w:sz w:val="18"/>
                <w:szCs w:val="18"/>
              </w:rPr>
              <w:t>人数</w:t>
            </w:r>
          </w:p>
        </w:tc>
        <w:tc>
          <w:tcPr>
            <w:tcW w:w="883" w:type="dxa"/>
            <w:noWrap w:val="0"/>
            <w:vAlign w:val="center"/>
          </w:tcPr>
          <w:p>
            <w:pPr>
              <w:adjustRightInd w:val="0"/>
              <w:snapToGrid w:val="0"/>
              <w:spacing w:line="240" w:lineRule="exact"/>
              <w:jc w:val="center"/>
              <w:rPr>
                <w:rFonts w:hint="eastAsia" w:ascii="宋体" w:hAnsi="宋体"/>
                <w:b/>
                <w:bCs/>
                <w:sz w:val="18"/>
                <w:szCs w:val="18"/>
              </w:rPr>
            </w:pPr>
            <w:r>
              <w:rPr>
                <w:rFonts w:hint="eastAsia" w:ascii="宋体" w:hAnsi="宋体"/>
                <w:b/>
                <w:bCs/>
                <w:sz w:val="18"/>
                <w:szCs w:val="18"/>
              </w:rPr>
              <w:t>比例</w:t>
            </w:r>
          </w:p>
          <w:p>
            <w:pPr>
              <w:adjustRightInd w:val="0"/>
              <w:snapToGrid w:val="0"/>
              <w:spacing w:line="240" w:lineRule="exact"/>
              <w:jc w:val="center"/>
              <w:rPr>
                <w:rFonts w:hint="eastAsia" w:ascii="宋体" w:hAnsi="宋体"/>
                <w:b/>
                <w:bCs/>
                <w:sz w:val="18"/>
                <w:szCs w:val="18"/>
              </w:rPr>
            </w:pPr>
            <w:r>
              <w:rPr>
                <w:rFonts w:hint="eastAsia" w:ascii="宋体" w:hAnsi="宋体"/>
                <w:b/>
                <w:bCs/>
                <w:sz w:val="18"/>
                <w:szCs w:val="18"/>
              </w:rPr>
              <w:t>（%）</w:t>
            </w:r>
          </w:p>
        </w:tc>
        <w:tc>
          <w:tcPr>
            <w:tcW w:w="726" w:type="dxa"/>
            <w:vMerge w:val="continue"/>
            <w:noWrap w:val="0"/>
            <w:vAlign w:val="center"/>
          </w:tcPr>
          <w:p>
            <w:pPr>
              <w:adjustRightInd w:val="0"/>
              <w:snapToGrid w:val="0"/>
              <w:spacing w:line="240" w:lineRule="exact"/>
              <w:jc w:val="center"/>
              <w:rPr>
                <w:rFonts w:hint="eastAsia" w:ascii="宋体" w:hAnsi="宋体"/>
                <w:b/>
                <w:bCs/>
                <w:sz w:val="18"/>
                <w:szCs w:val="18"/>
              </w:rPr>
            </w:pPr>
          </w:p>
        </w:tc>
        <w:tc>
          <w:tcPr>
            <w:tcW w:w="898" w:type="dxa"/>
            <w:vMerge w:val="continue"/>
            <w:noWrap w:val="0"/>
            <w:vAlign w:val="center"/>
          </w:tcPr>
          <w:p>
            <w:pPr>
              <w:adjustRightInd w:val="0"/>
              <w:snapToGrid w:val="0"/>
              <w:spacing w:line="240" w:lineRule="exact"/>
              <w:jc w:val="center"/>
              <w:rPr>
                <w:rFonts w:hint="eastAsia" w:ascii="宋体" w:hAnsi="宋体"/>
                <w:b/>
                <w:bCs/>
                <w:sz w:val="18"/>
                <w:szCs w:val="18"/>
              </w:rPr>
            </w:pPr>
          </w:p>
        </w:tc>
        <w:tc>
          <w:tcPr>
            <w:tcW w:w="898" w:type="dxa"/>
            <w:vMerge w:val="continue"/>
            <w:noWrap w:val="0"/>
            <w:vAlign w:val="center"/>
          </w:tcPr>
          <w:p>
            <w:pPr>
              <w:adjustRightInd w:val="0"/>
              <w:snapToGrid w:val="0"/>
              <w:spacing w:line="240" w:lineRule="exact"/>
              <w:jc w:val="center"/>
              <w:rPr>
                <w:rFonts w:hint="eastAsia" w:ascii="宋体"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1184" w:type="dxa"/>
            <w:noWrap w:val="0"/>
            <w:vAlign w:val="center"/>
          </w:tcPr>
          <w:p>
            <w:pPr>
              <w:spacing w:line="240" w:lineRule="atLeast"/>
              <w:jc w:val="center"/>
              <w:rPr>
                <w:rFonts w:hint="default" w:ascii="仿宋" w:hAnsi="仿宋" w:eastAsia="仿宋" w:cs="宋体"/>
                <w:b/>
                <w:sz w:val="18"/>
                <w:szCs w:val="18"/>
                <w:lang w:val="en-US" w:eastAsia="zh-CN"/>
              </w:rPr>
            </w:pPr>
            <w:r>
              <w:rPr>
                <w:rFonts w:hint="eastAsia" w:ascii="仿宋" w:hAnsi="仿宋" w:eastAsia="仿宋" w:cs="宋体"/>
                <w:b/>
                <w:sz w:val="18"/>
                <w:szCs w:val="18"/>
                <w:lang w:val="en-US" w:eastAsia="zh-CN"/>
              </w:rPr>
              <w:t>2020—2021</w:t>
            </w:r>
          </w:p>
        </w:tc>
        <w:tc>
          <w:tcPr>
            <w:tcW w:w="966" w:type="dxa"/>
            <w:tcBorders>
              <w:bottom w:val="single" w:color="auto" w:sz="4" w:space="0"/>
            </w:tcBorders>
            <w:noWrap w:val="0"/>
            <w:vAlign w:val="center"/>
          </w:tcPr>
          <w:p>
            <w:pPr>
              <w:adjustRightInd w:val="0"/>
              <w:snapToGrid w:val="0"/>
              <w:spacing w:line="220" w:lineRule="atLeast"/>
              <w:jc w:val="center"/>
              <w:rPr>
                <w:rFonts w:hint="default" w:ascii="Tahoma" w:hAnsi="Tahoma" w:eastAsia="宋体"/>
                <w:sz w:val="18"/>
                <w:szCs w:val="18"/>
                <w:lang w:val="en-US" w:eastAsia="zh-CN"/>
              </w:rPr>
            </w:pPr>
            <w:r>
              <w:rPr>
                <w:rFonts w:hint="eastAsia" w:ascii="Tahoma" w:hAnsi="Tahoma"/>
                <w:sz w:val="18"/>
                <w:szCs w:val="18"/>
                <w:lang w:val="en-US" w:eastAsia="zh-CN"/>
              </w:rPr>
              <w:t>1716</w:t>
            </w:r>
          </w:p>
        </w:tc>
        <w:tc>
          <w:tcPr>
            <w:tcW w:w="664" w:type="dxa"/>
            <w:tcBorders>
              <w:bottom w:val="single" w:color="auto" w:sz="4" w:space="0"/>
            </w:tcBorders>
            <w:noWrap w:val="0"/>
            <w:vAlign w:val="center"/>
          </w:tcPr>
          <w:p>
            <w:pPr>
              <w:adjustRightInd w:val="0"/>
              <w:snapToGrid w:val="0"/>
              <w:spacing w:line="220" w:lineRule="atLeast"/>
              <w:jc w:val="center"/>
              <w:rPr>
                <w:rFonts w:hint="default" w:ascii="Tahoma" w:hAnsi="Tahoma" w:eastAsia="宋体"/>
                <w:sz w:val="18"/>
                <w:szCs w:val="18"/>
                <w:lang w:val="en-US" w:eastAsia="zh-CN"/>
              </w:rPr>
            </w:pPr>
            <w:r>
              <w:rPr>
                <w:rFonts w:hint="eastAsia" w:ascii="Tahoma" w:hAnsi="Tahoma"/>
                <w:sz w:val="18"/>
                <w:szCs w:val="18"/>
                <w:lang w:val="en-US" w:eastAsia="zh-CN"/>
              </w:rPr>
              <w:t>877</w:t>
            </w:r>
          </w:p>
        </w:tc>
        <w:tc>
          <w:tcPr>
            <w:tcW w:w="1033" w:type="dxa"/>
            <w:tcBorders>
              <w:bottom w:val="single" w:color="auto" w:sz="4" w:space="0"/>
            </w:tcBorders>
            <w:noWrap w:val="0"/>
            <w:vAlign w:val="center"/>
          </w:tcPr>
          <w:p>
            <w:pPr>
              <w:adjustRightInd w:val="0"/>
              <w:snapToGrid w:val="0"/>
              <w:spacing w:line="220" w:lineRule="atLeast"/>
              <w:jc w:val="center"/>
              <w:rPr>
                <w:rFonts w:hint="default" w:ascii="Tahoma" w:hAnsi="Tahoma" w:eastAsia="宋体"/>
                <w:sz w:val="18"/>
                <w:szCs w:val="18"/>
                <w:lang w:val="en-US" w:eastAsia="zh-CN"/>
              </w:rPr>
            </w:pPr>
            <w:r>
              <w:rPr>
                <w:rFonts w:hint="eastAsia" w:ascii="Tahoma" w:hAnsi="Tahoma"/>
                <w:sz w:val="18"/>
                <w:szCs w:val="18"/>
                <w:lang w:val="en-US" w:eastAsia="zh-CN"/>
              </w:rPr>
              <w:t>51%</w:t>
            </w:r>
          </w:p>
        </w:tc>
        <w:tc>
          <w:tcPr>
            <w:tcW w:w="1100" w:type="dxa"/>
            <w:tcBorders>
              <w:bottom w:val="single" w:color="auto" w:sz="4" w:space="0"/>
            </w:tcBorders>
            <w:noWrap w:val="0"/>
            <w:vAlign w:val="center"/>
          </w:tcPr>
          <w:p>
            <w:pPr>
              <w:adjustRightInd w:val="0"/>
              <w:snapToGrid w:val="0"/>
              <w:spacing w:line="220" w:lineRule="atLeast"/>
              <w:jc w:val="center"/>
              <w:rPr>
                <w:rFonts w:hint="default" w:ascii="Tahoma" w:hAnsi="Tahoma" w:eastAsia="宋体"/>
                <w:sz w:val="18"/>
                <w:szCs w:val="18"/>
                <w:lang w:val="en-US" w:eastAsia="zh-CN"/>
              </w:rPr>
            </w:pPr>
            <w:r>
              <w:rPr>
                <w:rFonts w:hint="eastAsia" w:ascii="Tahoma" w:hAnsi="Tahoma"/>
                <w:sz w:val="18"/>
                <w:szCs w:val="18"/>
                <w:lang w:val="en-US" w:eastAsia="zh-CN"/>
              </w:rPr>
              <w:t>775</w:t>
            </w:r>
          </w:p>
        </w:tc>
        <w:tc>
          <w:tcPr>
            <w:tcW w:w="1334" w:type="dxa"/>
            <w:tcBorders>
              <w:bottom w:val="single" w:color="auto" w:sz="4" w:space="0"/>
            </w:tcBorders>
            <w:noWrap w:val="0"/>
            <w:vAlign w:val="center"/>
          </w:tcPr>
          <w:p>
            <w:pPr>
              <w:adjustRightInd w:val="0"/>
              <w:snapToGrid w:val="0"/>
              <w:spacing w:line="220" w:lineRule="atLeast"/>
              <w:jc w:val="center"/>
              <w:rPr>
                <w:rFonts w:hint="default" w:ascii="Tahoma" w:hAnsi="Tahoma" w:eastAsia="宋体"/>
                <w:sz w:val="18"/>
                <w:szCs w:val="18"/>
                <w:lang w:val="en-US" w:eastAsia="zh-CN"/>
              </w:rPr>
            </w:pPr>
            <w:r>
              <w:rPr>
                <w:rFonts w:hint="eastAsia" w:ascii="Tahoma" w:hAnsi="Tahoma"/>
                <w:sz w:val="18"/>
                <w:szCs w:val="18"/>
                <w:lang w:val="en-US" w:eastAsia="zh-CN"/>
              </w:rPr>
              <w:t>88.4</w:t>
            </w:r>
          </w:p>
        </w:tc>
        <w:tc>
          <w:tcPr>
            <w:tcW w:w="750" w:type="dxa"/>
            <w:tcBorders>
              <w:bottom w:val="single" w:color="auto" w:sz="4" w:space="0"/>
            </w:tcBorders>
            <w:noWrap w:val="0"/>
            <w:vAlign w:val="center"/>
          </w:tcPr>
          <w:p>
            <w:pPr>
              <w:adjustRightInd w:val="0"/>
              <w:snapToGrid w:val="0"/>
              <w:spacing w:line="220" w:lineRule="atLeast"/>
              <w:jc w:val="center"/>
              <w:rPr>
                <w:rFonts w:hint="default" w:ascii="Tahoma" w:hAnsi="Tahoma" w:eastAsia="宋体"/>
                <w:sz w:val="18"/>
                <w:szCs w:val="18"/>
                <w:lang w:val="en-US" w:eastAsia="zh-CN"/>
              </w:rPr>
            </w:pPr>
            <w:r>
              <w:rPr>
                <w:rFonts w:hint="eastAsia" w:ascii="Tahoma" w:hAnsi="Tahoma"/>
                <w:sz w:val="18"/>
                <w:szCs w:val="18"/>
                <w:lang w:val="en-US" w:eastAsia="zh-CN"/>
              </w:rPr>
              <w:t>839</w:t>
            </w:r>
          </w:p>
        </w:tc>
        <w:tc>
          <w:tcPr>
            <w:tcW w:w="883" w:type="dxa"/>
            <w:tcBorders>
              <w:bottom w:val="single" w:color="auto" w:sz="4" w:space="0"/>
            </w:tcBorders>
            <w:noWrap w:val="0"/>
            <w:vAlign w:val="center"/>
          </w:tcPr>
          <w:p>
            <w:pPr>
              <w:adjustRightInd w:val="0"/>
              <w:snapToGrid w:val="0"/>
              <w:spacing w:line="220" w:lineRule="atLeast"/>
              <w:jc w:val="center"/>
              <w:rPr>
                <w:rFonts w:hint="default" w:ascii="Tahoma" w:hAnsi="Tahoma" w:eastAsia="宋体"/>
                <w:sz w:val="18"/>
                <w:szCs w:val="18"/>
                <w:lang w:val="en-US" w:eastAsia="zh-CN"/>
              </w:rPr>
            </w:pPr>
            <w:r>
              <w:rPr>
                <w:rFonts w:hint="eastAsia" w:ascii="Tahoma" w:hAnsi="Tahoma"/>
                <w:sz w:val="18"/>
                <w:szCs w:val="18"/>
                <w:lang w:val="en-US" w:eastAsia="zh-CN"/>
              </w:rPr>
              <w:t>49</w:t>
            </w:r>
          </w:p>
        </w:tc>
        <w:tc>
          <w:tcPr>
            <w:tcW w:w="726" w:type="dxa"/>
            <w:tcBorders>
              <w:bottom w:val="single" w:color="auto" w:sz="4" w:space="0"/>
            </w:tcBorders>
            <w:noWrap w:val="0"/>
            <w:vAlign w:val="center"/>
          </w:tcPr>
          <w:p>
            <w:pPr>
              <w:adjustRightInd w:val="0"/>
              <w:snapToGrid w:val="0"/>
              <w:spacing w:line="220" w:lineRule="atLeast"/>
              <w:jc w:val="center"/>
              <w:rPr>
                <w:rFonts w:hint="default" w:ascii="Tahoma" w:hAnsi="Tahoma" w:eastAsia="宋体"/>
                <w:sz w:val="18"/>
                <w:szCs w:val="18"/>
                <w:lang w:val="en-US" w:eastAsia="zh-CN"/>
              </w:rPr>
            </w:pPr>
            <w:r>
              <w:rPr>
                <w:rFonts w:hint="eastAsia" w:ascii="Tahoma" w:hAnsi="Tahoma"/>
                <w:sz w:val="18"/>
                <w:szCs w:val="18"/>
                <w:lang w:val="en-US" w:eastAsia="zh-CN"/>
              </w:rPr>
              <w:t>2630</w:t>
            </w:r>
          </w:p>
        </w:tc>
        <w:tc>
          <w:tcPr>
            <w:tcW w:w="898" w:type="dxa"/>
            <w:tcBorders>
              <w:bottom w:val="single" w:color="auto" w:sz="4" w:space="0"/>
            </w:tcBorders>
            <w:noWrap w:val="0"/>
            <w:vAlign w:val="center"/>
          </w:tcPr>
          <w:p>
            <w:pPr>
              <w:adjustRightInd w:val="0"/>
              <w:snapToGrid w:val="0"/>
              <w:spacing w:line="220" w:lineRule="atLeast"/>
              <w:jc w:val="center"/>
              <w:rPr>
                <w:rFonts w:hint="default" w:ascii="Tahoma" w:hAnsi="Tahoma" w:eastAsia="宋体"/>
                <w:sz w:val="18"/>
                <w:szCs w:val="18"/>
                <w:lang w:val="en-US" w:eastAsia="zh-CN"/>
              </w:rPr>
            </w:pPr>
            <w:r>
              <w:rPr>
                <w:rFonts w:hint="eastAsia" w:ascii="Tahoma" w:hAnsi="Tahoma"/>
                <w:sz w:val="18"/>
                <w:szCs w:val="18"/>
                <w:lang w:val="en-US" w:eastAsia="zh-CN"/>
              </w:rPr>
              <w:t>35</w:t>
            </w:r>
          </w:p>
        </w:tc>
        <w:tc>
          <w:tcPr>
            <w:tcW w:w="898" w:type="dxa"/>
            <w:tcBorders>
              <w:bottom w:val="single" w:color="auto" w:sz="4" w:space="0"/>
            </w:tcBorders>
            <w:noWrap w:val="0"/>
            <w:vAlign w:val="center"/>
          </w:tcPr>
          <w:p>
            <w:pPr>
              <w:adjustRightInd w:val="0"/>
              <w:snapToGrid w:val="0"/>
              <w:spacing w:line="220" w:lineRule="atLeast"/>
              <w:jc w:val="center"/>
              <w:rPr>
                <w:rFonts w:hint="eastAsia" w:ascii="Tahoma" w:hAnsi="Tahoma" w:eastAsia="宋体"/>
                <w:sz w:val="18"/>
                <w:szCs w:val="18"/>
                <w:lang w:val="en-US" w:eastAsia="zh-CN"/>
              </w:rPr>
            </w:pPr>
            <w:r>
              <w:rPr>
                <w:rFonts w:hint="eastAsia" w:ascii="Tahoma" w:hAnsi="Tahoma"/>
                <w:sz w:val="18"/>
                <w:szCs w:val="1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 w:hRule="exact"/>
          <w:jc w:val="center"/>
        </w:trPr>
        <w:tc>
          <w:tcPr>
            <w:tcW w:w="1184" w:type="dxa"/>
            <w:noWrap w:val="0"/>
            <w:vAlign w:val="center"/>
          </w:tcPr>
          <w:p>
            <w:pPr>
              <w:spacing w:line="240" w:lineRule="atLeast"/>
              <w:jc w:val="center"/>
              <w:rPr>
                <w:rFonts w:hint="eastAsia" w:ascii="仿宋" w:hAnsi="仿宋" w:eastAsia="仿宋" w:cs="宋体"/>
                <w:b/>
                <w:sz w:val="18"/>
                <w:szCs w:val="18"/>
              </w:rPr>
            </w:pPr>
            <w:r>
              <w:rPr>
                <w:rFonts w:hint="eastAsia" w:ascii="仿宋" w:hAnsi="仿宋" w:eastAsia="仿宋" w:cs="宋体"/>
                <w:b/>
                <w:sz w:val="18"/>
                <w:szCs w:val="18"/>
                <w:lang w:val="en-US" w:eastAsia="zh-CN"/>
              </w:rPr>
              <w:t>2021—2022</w:t>
            </w:r>
          </w:p>
        </w:tc>
        <w:tc>
          <w:tcPr>
            <w:tcW w:w="966" w:type="dxa"/>
            <w:tcBorders>
              <w:bottom w:val="single" w:color="auto" w:sz="4" w:space="0"/>
            </w:tcBorders>
            <w:noWrap w:val="0"/>
            <w:vAlign w:val="center"/>
          </w:tcPr>
          <w:p>
            <w:pPr>
              <w:adjustRightInd w:val="0"/>
              <w:snapToGrid w:val="0"/>
              <w:spacing w:line="220" w:lineRule="atLeast"/>
              <w:jc w:val="center"/>
              <w:rPr>
                <w:rFonts w:hint="default" w:ascii="Tahoma" w:hAnsi="Tahoma" w:eastAsia="宋体"/>
                <w:sz w:val="18"/>
                <w:szCs w:val="18"/>
                <w:lang w:val="en-US" w:eastAsia="zh-CN"/>
              </w:rPr>
            </w:pPr>
            <w:r>
              <w:rPr>
                <w:rFonts w:hint="eastAsia" w:ascii="Tahoma" w:hAnsi="Tahoma"/>
                <w:sz w:val="18"/>
                <w:szCs w:val="18"/>
                <w:lang w:val="en-US" w:eastAsia="zh-CN"/>
              </w:rPr>
              <w:t>1674</w:t>
            </w:r>
          </w:p>
        </w:tc>
        <w:tc>
          <w:tcPr>
            <w:tcW w:w="664" w:type="dxa"/>
            <w:tcBorders>
              <w:bottom w:val="single" w:color="auto" w:sz="4" w:space="0"/>
            </w:tcBorders>
            <w:noWrap w:val="0"/>
            <w:vAlign w:val="center"/>
          </w:tcPr>
          <w:p>
            <w:pPr>
              <w:adjustRightInd w:val="0"/>
              <w:snapToGrid w:val="0"/>
              <w:spacing w:line="220" w:lineRule="atLeast"/>
              <w:jc w:val="center"/>
              <w:rPr>
                <w:rFonts w:hint="default" w:ascii="Tahoma" w:hAnsi="Tahoma" w:eastAsia="宋体"/>
                <w:sz w:val="18"/>
                <w:szCs w:val="18"/>
                <w:lang w:val="en-US" w:eastAsia="zh-CN"/>
              </w:rPr>
            </w:pPr>
            <w:r>
              <w:rPr>
                <w:rFonts w:hint="eastAsia" w:ascii="Tahoma" w:hAnsi="Tahoma"/>
                <w:sz w:val="18"/>
                <w:szCs w:val="18"/>
                <w:lang w:val="en-US" w:eastAsia="zh-CN"/>
              </w:rPr>
              <w:t>774</w:t>
            </w:r>
          </w:p>
        </w:tc>
        <w:tc>
          <w:tcPr>
            <w:tcW w:w="1033" w:type="dxa"/>
            <w:tcBorders>
              <w:bottom w:val="single" w:color="auto" w:sz="4" w:space="0"/>
            </w:tcBorders>
            <w:noWrap w:val="0"/>
            <w:vAlign w:val="center"/>
          </w:tcPr>
          <w:p>
            <w:pPr>
              <w:adjustRightInd w:val="0"/>
              <w:snapToGrid w:val="0"/>
              <w:spacing w:line="220" w:lineRule="atLeast"/>
              <w:jc w:val="center"/>
              <w:rPr>
                <w:rFonts w:hint="default" w:ascii="Tahoma" w:hAnsi="Tahoma" w:eastAsia="宋体"/>
                <w:sz w:val="18"/>
                <w:szCs w:val="18"/>
                <w:lang w:val="en-US" w:eastAsia="zh-CN"/>
              </w:rPr>
            </w:pPr>
            <w:r>
              <w:rPr>
                <w:rFonts w:hint="eastAsia" w:ascii="Tahoma" w:hAnsi="Tahoma"/>
                <w:sz w:val="18"/>
                <w:szCs w:val="18"/>
                <w:lang w:val="en-US" w:eastAsia="zh-CN"/>
              </w:rPr>
              <w:t>46%</w:t>
            </w:r>
          </w:p>
        </w:tc>
        <w:tc>
          <w:tcPr>
            <w:tcW w:w="1100" w:type="dxa"/>
            <w:tcBorders>
              <w:bottom w:val="single" w:color="auto" w:sz="4" w:space="0"/>
            </w:tcBorders>
            <w:noWrap w:val="0"/>
            <w:vAlign w:val="center"/>
          </w:tcPr>
          <w:p>
            <w:pPr>
              <w:adjustRightInd w:val="0"/>
              <w:snapToGrid w:val="0"/>
              <w:spacing w:line="220" w:lineRule="atLeast"/>
              <w:jc w:val="center"/>
              <w:rPr>
                <w:rFonts w:hint="default" w:ascii="Tahoma" w:hAnsi="Tahoma" w:eastAsia="宋体"/>
                <w:sz w:val="18"/>
                <w:szCs w:val="18"/>
                <w:lang w:val="en-US" w:eastAsia="zh-CN"/>
              </w:rPr>
            </w:pPr>
            <w:r>
              <w:rPr>
                <w:rFonts w:hint="eastAsia" w:ascii="Tahoma" w:hAnsi="Tahoma"/>
                <w:sz w:val="18"/>
                <w:szCs w:val="18"/>
                <w:lang w:val="en-US" w:eastAsia="zh-CN"/>
              </w:rPr>
              <w:t>682</w:t>
            </w:r>
          </w:p>
        </w:tc>
        <w:tc>
          <w:tcPr>
            <w:tcW w:w="1334" w:type="dxa"/>
            <w:tcBorders>
              <w:bottom w:val="single" w:color="auto" w:sz="4" w:space="0"/>
            </w:tcBorders>
            <w:noWrap w:val="0"/>
            <w:vAlign w:val="center"/>
          </w:tcPr>
          <w:p>
            <w:pPr>
              <w:adjustRightInd w:val="0"/>
              <w:snapToGrid w:val="0"/>
              <w:spacing w:line="220" w:lineRule="atLeast"/>
              <w:jc w:val="center"/>
              <w:rPr>
                <w:rFonts w:hint="default" w:ascii="Tahoma" w:hAnsi="Tahoma" w:eastAsia="宋体"/>
                <w:sz w:val="18"/>
                <w:szCs w:val="18"/>
                <w:lang w:val="en-US" w:eastAsia="zh-CN"/>
              </w:rPr>
            </w:pPr>
            <w:r>
              <w:rPr>
                <w:rFonts w:hint="eastAsia" w:ascii="Tahoma" w:hAnsi="Tahoma"/>
                <w:sz w:val="18"/>
                <w:szCs w:val="18"/>
                <w:lang w:val="en-US" w:eastAsia="zh-CN"/>
              </w:rPr>
              <w:t>88</w:t>
            </w:r>
          </w:p>
        </w:tc>
        <w:tc>
          <w:tcPr>
            <w:tcW w:w="750" w:type="dxa"/>
            <w:tcBorders>
              <w:bottom w:val="single" w:color="auto" w:sz="4" w:space="0"/>
            </w:tcBorders>
            <w:noWrap w:val="0"/>
            <w:vAlign w:val="center"/>
          </w:tcPr>
          <w:p>
            <w:pPr>
              <w:adjustRightInd w:val="0"/>
              <w:snapToGrid w:val="0"/>
              <w:spacing w:line="220" w:lineRule="atLeast"/>
              <w:jc w:val="center"/>
              <w:rPr>
                <w:rFonts w:hint="default" w:ascii="Tahoma" w:hAnsi="Tahoma" w:eastAsia="宋体"/>
                <w:sz w:val="18"/>
                <w:szCs w:val="18"/>
                <w:lang w:val="en-US" w:eastAsia="zh-CN"/>
              </w:rPr>
            </w:pPr>
            <w:r>
              <w:rPr>
                <w:rFonts w:hint="eastAsia" w:ascii="Tahoma" w:hAnsi="Tahoma"/>
                <w:sz w:val="18"/>
                <w:szCs w:val="18"/>
                <w:lang w:val="en-US" w:eastAsia="zh-CN"/>
              </w:rPr>
              <w:t>900</w:t>
            </w:r>
          </w:p>
        </w:tc>
        <w:tc>
          <w:tcPr>
            <w:tcW w:w="883" w:type="dxa"/>
            <w:tcBorders>
              <w:bottom w:val="single" w:color="auto" w:sz="4" w:space="0"/>
            </w:tcBorders>
            <w:noWrap w:val="0"/>
            <w:vAlign w:val="center"/>
          </w:tcPr>
          <w:p>
            <w:pPr>
              <w:adjustRightInd w:val="0"/>
              <w:snapToGrid w:val="0"/>
              <w:spacing w:line="220" w:lineRule="atLeast"/>
              <w:jc w:val="center"/>
              <w:rPr>
                <w:rFonts w:hint="default" w:ascii="Tahoma" w:hAnsi="Tahoma" w:eastAsia="宋体"/>
                <w:sz w:val="18"/>
                <w:szCs w:val="18"/>
                <w:lang w:val="en-US" w:eastAsia="zh-CN"/>
              </w:rPr>
            </w:pPr>
            <w:r>
              <w:rPr>
                <w:rFonts w:hint="eastAsia" w:ascii="Tahoma" w:hAnsi="Tahoma"/>
                <w:sz w:val="18"/>
                <w:szCs w:val="18"/>
                <w:lang w:val="en-US" w:eastAsia="zh-CN"/>
              </w:rPr>
              <w:t>54</w:t>
            </w:r>
          </w:p>
        </w:tc>
        <w:tc>
          <w:tcPr>
            <w:tcW w:w="726" w:type="dxa"/>
            <w:tcBorders>
              <w:bottom w:val="single" w:color="auto" w:sz="4" w:space="0"/>
            </w:tcBorders>
            <w:noWrap w:val="0"/>
            <w:vAlign w:val="center"/>
          </w:tcPr>
          <w:p>
            <w:pPr>
              <w:adjustRightInd w:val="0"/>
              <w:snapToGrid w:val="0"/>
              <w:spacing w:line="220" w:lineRule="atLeast"/>
              <w:jc w:val="center"/>
              <w:rPr>
                <w:rFonts w:hint="default" w:ascii="Tahoma" w:hAnsi="Tahoma" w:eastAsia="宋体"/>
                <w:sz w:val="18"/>
                <w:szCs w:val="18"/>
                <w:lang w:val="en-US" w:eastAsia="zh-CN"/>
              </w:rPr>
            </w:pPr>
            <w:r>
              <w:rPr>
                <w:rFonts w:hint="eastAsia" w:ascii="Tahoma" w:hAnsi="Tahoma"/>
                <w:sz w:val="18"/>
                <w:szCs w:val="18"/>
                <w:lang w:val="en-US" w:eastAsia="zh-CN"/>
              </w:rPr>
              <w:t>2720</w:t>
            </w:r>
          </w:p>
        </w:tc>
        <w:tc>
          <w:tcPr>
            <w:tcW w:w="898" w:type="dxa"/>
            <w:tcBorders>
              <w:bottom w:val="single" w:color="auto" w:sz="4" w:space="0"/>
            </w:tcBorders>
            <w:noWrap w:val="0"/>
            <w:vAlign w:val="center"/>
          </w:tcPr>
          <w:p>
            <w:pPr>
              <w:adjustRightInd w:val="0"/>
              <w:snapToGrid w:val="0"/>
              <w:spacing w:line="220" w:lineRule="atLeast"/>
              <w:jc w:val="center"/>
              <w:rPr>
                <w:rFonts w:hint="default" w:ascii="Tahoma" w:hAnsi="Tahoma" w:eastAsia="宋体"/>
                <w:sz w:val="18"/>
                <w:szCs w:val="18"/>
                <w:lang w:val="en-US" w:eastAsia="zh-CN"/>
              </w:rPr>
            </w:pPr>
            <w:r>
              <w:rPr>
                <w:rFonts w:hint="eastAsia" w:ascii="Tahoma" w:hAnsi="Tahoma"/>
                <w:sz w:val="18"/>
                <w:szCs w:val="18"/>
                <w:lang w:val="en-US" w:eastAsia="zh-CN"/>
              </w:rPr>
              <w:t>52</w:t>
            </w:r>
          </w:p>
        </w:tc>
        <w:tc>
          <w:tcPr>
            <w:tcW w:w="898" w:type="dxa"/>
            <w:tcBorders>
              <w:bottom w:val="single" w:color="auto" w:sz="4" w:space="0"/>
            </w:tcBorders>
            <w:noWrap w:val="0"/>
            <w:vAlign w:val="center"/>
          </w:tcPr>
          <w:p>
            <w:pPr>
              <w:adjustRightInd w:val="0"/>
              <w:snapToGrid w:val="0"/>
              <w:spacing w:line="220" w:lineRule="atLeast"/>
              <w:jc w:val="center"/>
              <w:rPr>
                <w:rFonts w:hint="default" w:ascii="Tahoma" w:hAnsi="Tahoma" w:eastAsia="宋体"/>
                <w:sz w:val="18"/>
                <w:szCs w:val="18"/>
                <w:lang w:val="en-US" w:eastAsia="zh-CN"/>
              </w:rPr>
            </w:pPr>
            <w:r>
              <w:rPr>
                <w:rFonts w:hint="eastAsia" w:ascii="Tahoma" w:hAnsi="Tahoma"/>
                <w:sz w:val="18"/>
                <w:szCs w:val="18"/>
                <w:lang w:val="en-US" w:eastAsia="zh-CN"/>
              </w:rPr>
              <w:t>6.7</w:t>
            </w:r>
          </w:p>
        </w:tc>
      </w:tr>
    </w:tbl>
    <w:p>
      <w:pPr>
        <w:spacing w:line="360" w:lineRule="auto"/>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5创新创业</w:t>
      </w:r>
    </w:p>
    <w:p>
      <w:pPr>
        <w:spacing w:line="360" w:lineRule="auto"/>
        <w:ind w:firstLine="600" w:firstLineChars="200"/>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（1）近三年来，学校每年</w:t>
      </w:r>
      <w:r>
        <w:rPr>
          <w:rFonts w:hint="eastAsia" w:ascii="仿宋_GB2312" w:hAnsi="仿宋_GB2312" w:eastAsia="仿宋_GB2312" w:cs="仿宋_GB2312"/>
          <w:kern w:val="2"/>
          <w:sz w:val="30"/>
          <w:szCs w:val="30"/>
        </w:rPr>
        <w:t>制定</w:t>
      </w:r>
      <w:r>
        <w:rPr>
          <w:rFonts w:hint="eastAsia" w:ascii="仿宋_GB2312" w:hAnsi="仿宋_GB2312" w:eastAsia="仿宋_GB2312" w:cs="仿宋_GB2312"/>
          <w:kern w:val="2"/>
          <w:sz w:val="30"/>
          <w:szCs w:val="30"/>
          <w:lang w:val="en-US" w:eastAsia="zh-CN"/>
        </w:rPr>
        <w:t>创新创业</w:t>
      </w:r>
      <w:r>
        <w:rPr>
          <w:rFonts w:hint="eastAsia" w:ascii="仿宋_GB2312" w:hAnsi="仿宋_GB2312" w:eastAsia="仿宋_GB2312" w:cs="仿宋_GB2312"/>
          <w:kern w:val="2"/>
          <w:sz w:val="30"/>
          <w:szCs w:val="30"/>
        </w:rPr>
        <w:t>年度工作计划，理清工作思路方法和措施，并配备专职管理人员，明确分工有效推进培训的顺利开展，认真做好宣传推广工作，调动各方力量，组织有意愿创业和培训需求的人员参加创业培训，按照创业培训的要求，认真做好教学各项工作，举办政策解读、视频观看、模拟等一系列方式，有效地提高了创业培训成果。</w:t>
      </w:r>
    </w:p>
    <w:p>
      <w:pPr>
        <w:pStyle w:val="14"/>
        <w:widowControl/>
        <w:shd w:val="clear" w:color="auto" w:fill="FFFFFF"/>
        <w:spacing w:before="0" w:beforeAutospacing="0" w:after="0" w:afterAutospacing="0" w:line="560" w:lineRule="exact"/>
        <w:ind w:firstLine="645"/>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lang w:val="en-US" w:eastAsia="zh-CN"/>
        </w:rPr>
        <w:t>2</w:t>
      </w: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rPr>
        <w:t>切实提高培训质量，坚持管理机制，有效规范创业培训教学，加强培训管理，特别是建立学员学生档案、模拟教学，提升学员学习积极性和热情，通过创业扶持政策解读、案例破解、成功创业者现实说法等方式，切实提高了培训者的创业能力，规范了培训标准，建立了培训各章项规章制度，完善了培训教学流程，使创业培训质量不断的提高。</w:t>
      </w:r>
    </w:p>
    <w:p>
      <w:pPr>
        <w:spacing w:line="36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lang w:val="en-US" w:eastAsia="zh-CN"/>
        </w:rPr>
        <w:t>（3）在学校创新创业培训及一系列政策的保障之下，孙天奇、申利军、岳超、王干杰四位同学在首届安徽省中华职业教育创新创业大赛荣获省级三等奖，</w:t>
      </w:r>
      <w:r>
        <w:rPr>
          <w:rFonts w:hint="eastAsia" w:ascii="仿宋" w:hAnsi="仿宋" w:eastAsia="仿宋" w:cs="仿宋"/>
          <w:kern w:val="0"/>
          <w:sz w:val="32"/>
          <w:szCs w:val="32"/>
        </w:rPr>
        <w:t>毕业生涌现出孙奇等一批优秀的创业</w:t>
      </w:r>
      <w:r>
        <w:rPr>
          <w:rFonts w:hint="eastAsia" w:ascii="仿宋" w:hAnsi="仿宋" w:eastAsia="仿宋" w:cs="仿宋"/>
          <w:kern w:val="0"/>
          <w:sz w:val="32"/>
          <w:szCs w:val="32"/>
          <w:lang w:val="en-US" w:eastAsia="zh-CN"/>
        </w:rPr>
        <w:t>成功</w:t>
      </w:r>
      <w:r>
        <w:rPr>
          <w:rFonts w:hint="eastAsia" w:ascii="仿宋" w:hAnsi="仿宋" w:eastAsia="仿宋" w:cs="仿宋"/>
          <w:kern w:val="0"/>
          <w:sz w:val="32"/>
          <w:szCs w:val="32"/>
        </w:rPr>
        <w:t>典型。</w:t>
      </w:r>
    </w:p>
    <w:p>
      <w:pPr>
        <w:pStyle w:val="2"/>
        <w:numPr>
          <w:ilvl w:val="0"/>
          <w:numId w:val="0"/>
        </w:numPr>
        <w:jc w:val="center"/>
        <w:rPr>
          <w:rFonts w:hint="default"/>
          <w:lang w:val="en-US" w:eastAsia="zh-CN"/>
        </w:rPr>
      </w:pPr>
      <w:r>
        <w:rPr>
          <w:sz w:val="24"/>
        </w:rPr>
        <w:drawing>
          <wp:inline distT="0" distB="0" distL="114300" distR="114300">
            <wp:extent cx="5363210" cy="3964305"/>
            <wp:effectExtent l="0" t="0" r="8890" b="17145"/>
            <wp:docPr id="3" name="图片 1" descr="a8bd4a4f6c7c322207d1323eb3cbb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a8bd4a4f6c7c322207d1323eb3cbb78"/>
                    <pic:cNvPicPr>
                      <a:picLocks noChangeAspect="1"/>
                    </pic:cNvPicPr>
                  </pic:nvPicPr>
                  <pic:blipFill>
                    <a:blip r:embed="rId5"/>
                    <a:stretch>
                      <a:fillRect/>
                    </a:stretch>
                  </pic:blipFill>
                  <pic:spPr>
                    <a:xfrm>
                      <a:off x="0" y="0"/>
                      <a:ext cx="5363210" cy="3964305"/>
                    </a:xfrm>
                    <a:prstGeom prst="rect">
                      <a:avLst/>
                    </a:prstGeom>
                    <a:noFill/>
                    <a:ln>
                      <a:noFill/>
                    </a:ln>
                  </pic:spPr>
                </pic:pic>
              </a:graphicData>
            </a:graphic>
          </wp:inline>
        </w:drawing>
      </w:r>
    </w:p>
    <w:p>
      <w:pPr>
        <w:spacing w:line="360" w:lineRule="auto"/>
        <w:ind w:firstLine="640" w:firstLineChars="200"/>
        <w:rPr>
          <w:rFonts w:hint="eastAsia" w:ascii="仿宋" w:hAnsi="仿宋" w:eastAsia="仿宋" w:cs="仿宋"/>
          <w:kern w:val="0"/>
          <w:sz w:val="28"/>
          <w:szCs w:val="28"/>
          <w:lang w:val="en-US" w:eastAsia="zh-CN"/>
        </w:rPr>
      </w:pPr>
      <w:r>
        <w:rPr>
          <w:rFonts w:hint="eastAsia" w:ascii="仿宋" w:hAnsi="仿宋" w:cs="仿宋"/>
          <w:sz w:val="32"/>
          <w:szCs w:val="32"/>
          <w:lang w:val="en-US" w:eastAsia="zh-CN"/>
        </w:rPr>
        <w:t xml:space="preserve">             </w:t>
      </w:r>
      <w:r>
        <w:rPr>
          <w:rFonts w:hint="eastAsia" w:ascii="仿宋" w:hAnsi="仿宋" w:cs="仿宋"/>
          <w:sz w:val="28"/>
          <w:szCs w:val="28"/>
          <w:lang w:val="en-US" w:eastAsia="zh-CN"/>
        </w:rPr>
        <w:t xml:space="preserve">  </w:t>
      </w:r>
      <w:r>
        <w:rPr>
          <w:rFonts w:hint="eastAsia" w:ascii="仿宋" w:hAnsi="仿宋" w:eastAsia="仿宋" w:cs="仿宋"/>
          <w:kern w:val="0"/>
          <w:sz w:val="28"/>
          <w:szCs w:val="28"/>
        </w:rPr>
        <w:t>孙奇</w:t>
      </w:r>
      <w:r>
        <w:rPr>
          <w:rFonts w:hint="eastAsia" w:ascii="仿宋" w:hAnsi="仿宋" w:eastAsia="仿宋" w:cs="仿宋"/>
          <w:kern w:val="0"/>
          <w:sz w:val="28"/>
          <w:szCs w:val="28"/>
          <w:lang w:val="en-US" w:eastAsia="zh-CN"/>
        </w:rPr>
        <w:t>创办公司营业执照</w:t>
      </w:r>
    </w:p>
    <w:p>
      <w:pPr>
        <w:spacing w:line="360" w:lineRule="auto"/>
        <w:ind w:firstLine="964" w:firstLineChars="30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6技能大赛</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（1）学校</w:t>
      </w:r>
      <w:r>
        <w:rPr>
          <w:rFonts w:hint="eastAsia" w:ascii="仿宋_GB2312" w:hAnsi="仿宋_GB2312" w:eastAsia="仿宋_GB2312" w:cs="仿宋_GB2312"/>
          <w:sz w:val="32"/>
          <w:szCs w:val="32"/>
        </w:rPr>
        <w:t>教育学生传承发扬劳模精神，竭力成就大国工匠人才。将工匠精神培育贯穿于教育教学全过程，开展企业标准进教材、职业要素进课堂，形成厚植工匠文化、传承工匠精神的长效机制。用工匠精神引领校风、学风，将工匠精神融入社会主义核心价值观教育，作为党课、团课、主题班会的重要内容。通过学校</w:t>
      </w:r>
      <w:r>
        <w:rPr>
          <w:rFonts w:hint="eastAsia" w:ascii="仿宋_GB2312" w:hAnsi="仿宋_GB2312" w:eastAsia="仿宋_GB2312" w:cs="仿宋_GB2312"/>
          <w:sz w:val="32"/>
          <w:szCs w:val="32"/>
          <w:lang w:val="en-US" w:eastAsia="zh-CN"/>
        </w:rPr>
        <w:t>的技能选拔、日常训练</w:t>
      </w:r>
      <w:r>
        <w:rPr>
          <w:rFonts w:hint="eastAsia" w:ascii="仿宋_GB2312" w:hAnsi="仿宋_GB2312" w:eastAsia="仿宋_GB2312" w:cs="仿宋_GB2312"/>
          <w:sz w:val="32"/>
          <w:szCs w:val="32"/>
        </w:rPr>
        <w:t>让敬业执着、吃苦耐劳、精益求精、勇于创新成为广大师生的价值追求，将工匠精神内化为践行传承的实际行动。</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学校成立以党总支书记、校长周波为组长的技能竞赛工作领导小组，竞赛组设在教务科，负责制定学校技能竞赛管理办法、审核各专业组技能竞赛实施方案、收集竞赛信息、做好竞赛协调工作等竞赛事项，全面开展学校技能竞赛事宜。</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（3）2020—2021学年荣获全国职业院校技能大赛国家级三等奖1项、获奖学生1人；2021—2022学年全国职业院校技能大赛国家级三等奖2项、获奖学生5人。</w:t>
      </w:r>
    </w:p>
    <w:p>
      <w:pPr>
        <w:spacing w:line="360" w:lineRule="auto"/>
        <w:ind w:firstLine="643" w:firstLineChars="200"/>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三、教育教学质量</w:t>
      </w:r>
    </w:p>
    <w:p>
      <w:pPr>
        <w:spacing w:line="360" w:lineRule="auto"/>
        <w:ind w:firstLine="643" w:firstLineChars="200"/>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1专业建设质量</w:t>
      </w:r>
    </w:p>
    <w:p>
      <w:pPr>
        <w:ind w:firstLine="640" w:firstLineChars="200"/>
        <w:rPr>
          <w:rFonts w:hint="eastAsia" w:ascii="仿宋_GB2312" w:hAnsi="仿宋_GB2312" w:eastAsia="仿宋_GB2312" w:cs="仿宋_GB2312"/>
          <w:sz w:val="32"/>
          <w:szCs w:val="32"/>
        </w:rPr>
      </w:pPr>
      <w:r>
        <w:rPr>
          <w:rFonts w:hint="eastAsia" w:ascii="仿宋_GB2312" w:hAnsi="楷体" w:eastAsia="仿宋_GB2312"/>
          <w:sz w:val="32"/>
          <w:szCs w:val="32"/>
        </w:rPr>
        <w:t>学校紧跟地区产业发展步伐，淘汰不适应市场专业，进行专业优化。学校现有</w:t>
      </w:r>
      <w:r>
        <w:rPr>
          <w:rFonts w:hint="eastAsia" w:ascii="仿宋_GB2312" w:hAnsi="楷体" w:eastAsia="仿宋_GB2312"/>
          <w:sz w:val="32"/>
          <w:szCs w:val="32"/>
          <w:lang w:val="en-US" w:eastAsia="zh-CN"/>
        </w:rPr>
        <w:t>计</w:t>
      </w:r>
      <w:r>
        <w:rPr>
          <w:rFonts w:hint="eastAsia" w:ascii="仿宋_GB2312" w:hAnsi="楷体" w:eastAsia="仿宋_GB2312"/>
          <w:sz w:val="32"/>
          <w:szCs w:val="32"/>
        </w:rPr>
        <w:t>算机应用、汽车运用与维修、会计电算化、社会文化艺术（幼师方向）等</w:t>
      </w:r>
      <w:r>
        <w:rPr>
          <w:rFonts w:hint="eastAsia" w:ascii="仿宋_GB2312" w:hAnsi="楷体" w:eastAsia="仿宋_GB2312"/>
          <w:sz w:val="32"/>
          <w:szCs w:val="32"/>
          <w:lang w:val="en-US" w:eastAsia="zh-CN"/>
        </w:rPr>
        <w:t>25</w:t>
      </w:r>
      <w:r>
        <w:rPr>
          <w:rFonts w:hint="eastAsia" w:ascii="仿宋_GB2312" w:hAnsi="楷体" w:eastAsia="仿宋_GB2312"/>
          <w:sz w:val="32"/>
          <w:szCs w:val="32"/>
        </w:rPr>
        <w:t>个稳定专业。</w:t>
      </w:r>
      <w:r>
        <w:rPr>
          <w:rFonts w:hint="eastAsia" w:ascii="仿宋_GB2312" w:hAnsi="楷体" w:eastAsia="仿宋_GB2312"/>
          <w:sz w:val="32"/>
          <w:szCs w:val="32"/>
          <w:lang w:val="en-US" w:eastAsia="zh-CN"/>
        </w:rPr>
        <w:t>学校</w:t>
      </w:r>
      <w:r>
        <w:rPr>
          <w:rFonts w:hint="eastAsia" w:ascii="仿宋_GB2312" w:hAnsi="仿宋_GB2312" w:eastAsia="仿宋_GB2312" w:cs="仿宋_GB2312"/>
          <w:sz w:val="32"/>
          <w:szCs w:val="32"/>
        </w:rPr>
        <w:t>大力加强专业建设，不断提升专业建设水平，主干专业</w:t>
      </w:r>
      <w:r>
        <w:rPr>
          <w:rFonts w:hint="eastAsia" w:ascii="仿宋_GB2312" w:hAnsi="仿宋_GB2312" w:eastAsia="仿宋_GB2312" w:cs="仿宋_GB2312"/>
          <w:sz w:val="32"/>
          <w:szCs w:val="32"/>
          <w:lang w:val="en-US" w:eastAsia="zh-CN"/>
        </w:rPr>
        <w:t>汽车运用与维修、计算机应用、数控技术应用、会计电算化、电子商务等5个专业</w:t>
      </w:r>
      <w:r>
        <w:rPr>
          <w:rFonts w:hint="eastAsia" w:ascii="仿宋_GB2312" w:hAnsi="仿宋_GB2312" w:eastAsia="仿宋_GB2312" w:cs="仿宋_GB2312"/>
          <w:sz w:val="32"/>
          <w:szCs w:val="32"/>
        </w:rPr>
        <w:t>实现了教学、实训一体化，学生职业道德、职业精神培养与技术技能训练高度融合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val="en-US" w:eastAsia="zh-CN"/>
        </w:rPr>
        <w:t>目前五大专干专业均是安徽省级示范专业</w:t>
      </w:r>
      <w:r>
        <w:rPr>
          <w:rFonts w:hint="eastAsia" w:ascii="仿宋_GB2312" w:hAnsi="仿宋_GB2312" w:eastAsia="仿宋_GB2312" w:cs="仿宋_GB2312"/>
          <w:sz w:val="32"/>
          <w:szCs w:val="32"/>
          <w:lang w:val="en-US" w:eastAsia="zh-CN"/>
        </w:rPr>
        <w:t>，专业建设内容与阜阳市“十四五规划”产业高度契合，为</w:t>
      </w:r>
      <w:r>
        <w:rPr>
          <w:rFonts w:hint="eastAsia" w:ascii="仿宋_GB2312" w:hAnsi="仿宋_GB2312" w:eastAsia="仿宋_GB2312" w:cs="仿宋_GB2312"/>
          <w:sz w:val="32"/>
          <w:szCs w:val="32"/>
        </w:rPr>
        <w:t>阜阳经济发展</w:t>
      </w:r>
      <w:r>
        <w:rPr>
          <w:rFonts w:hint="eastAsia" w:ascii="仿宋_GB2312" w:hAnsi="仿宋_GB2312" w:eastAsia="仿宋_GB2312" w:cs="仿宋_GB2312"/>
          <w:sz w:val="32"/>
          <w:szCs w:val="32"/>
          <w:lang w:val="en-US" w:eastAsia="zh-CN"/>
        </w:rPr>
        <w:t>提供助力</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学校紧跟</w:t>
      </w:r>
      <w:r>
        <w:rPr>
          <w:rFonts w:hint="eastAsia" w:ascii="仿宋_GB2312" w:hAnsi="仿宋_GB2312" w:eastAsia="仿宋_GB2312" w:cs="仿宋_GB2312"/>
          <w:sz w:val="32"/>
          <w:szCs w:val="32"/>
          <w:lang w:val="en-US" w:eastAsia="zh-CN"/>
        </w:rPr>
        <w:t>市场</w:t>
      </w:r>
      <w:r>
        <w:rPr>
          <w:rFonts w:hint="eastAsia" w:ascii="仿宋_GB2312" w:hAnsi="仿宋_GB2312" w:eastAsia="仿宋_GB2312" w:cs="仿宋_GB2312"/>
          <w:sz w:val="32"/>
          <w:szCs w:val="32"/>
        </w:rPr>
        <w:t>发展对专业课程进行调整，根据需求及时修订各专业的人才培养方案，严格遵照专业人才培养方案进行教学组织，学生的理论、专业学习、实操时间比例合理，课程设置科学，根据学段的特点组织专业认知、实习实训等</w:t>
      </w:r>
      <w:r>
        <w:rPr>
          <w:rFonts w:hint="eastAsia" w:ascii="仿宋_GB2312" w:hAnsi="仿宋_GB2312" w:eastAsia="仿宋_GB2312" w:cs="仿宋_GB2312"/>
          <w:sz w:val="32"/>
          <w:szCs w:val="32"/>
          <w:lang w:eastAsia="zh-CN"/>
        </w:rPr>
        <w:t>。</w:t>
      </w:r>
    </w:p>
    <w:p>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2课程建设质量</w:t>
      </w:r>
    </w:p>
    <w:p>
      <w:pPr>
        <w:keepNext w:val="0"/>
        <w:keepLines w:val="0"/>
        <w:pageBreakBefore w:val="0"/>
        <w:widowControl/>
        <w:shd w:val="clear" w:color="auto" w:fill="FFFFFF"/>
        <w:kinsoku/>
        <w:wordWrap/>
        <w:overflowPunct/>
        <w:topLinePunct w:val="0"/>
        <w:bidi w:val="0"/>
        <w:spacing w:line="360" w:lineRule="auto"/>
        <w:ind w:right="0" w:firstLine="645"/>
        <w:textAlignment w:val="auto"/>
        <w:rPr>
          <w:rFonts w:ascii="仿宋" w:hAnsi="仿宋" w:eastAsia="仿宋" w:cs="仿宋"/>
          <w:sz w:val="32"/>
          <w:szCs w:val="32"/>
        </w:rPr>
      </w:pPr>
      <w:r>
        <w:rPr>
          <w:rFonts w:hint="eastAsia" w:ascii="仿宋" w:hAnsi="仿宋" w:eastAsia="仿宋" w:cs="仿宋"/>
          <w:sz w:val="32"/>
          <w:szCs w:val="32"/>
        </w:rPr>
        <w:t>学校重视课程体系建设，依据教育部颁布的专业教学标准，及时修订完善专业人才培养方案；</w:t>
      </w:r>
      <w:r>
        <w:rPr>
          <w:rFonts w:hint="eastAsia" w:ascii="仿宋" w:hAnsi="仿宋" w:eastAsia="仿宋" w:cs="仿宋"/>
          <w:color w:val="000000"/>
          <w:sz w:val="32"/>
          <w:szCs w:val="32"/>
        </w:rPr>
        <w:t>认真挖掘专业课程中的思政元素，积极开展“课程思政”教学教研活动，</w:t>
      </w:r>
      <w:r>
        <w:rPr>
          <w:rFonts w:hint="eastAsia" w:ascii="仿宋" w:hAnsi="仿宋" w:eastAsia="仿宋" w:cs="仿宋"/>
          <w:sz w:val="32"/>
          <w:szCs w:val="32"/>
        </w:rPr>
        <w:t>形成了符合职业教育规律的专业课程体系；教材选用和开发管理办法规范，建立一批校本精品课程，主干专业课程均有不少于5门以上的精品课程；引进超星学习通平台，精品课程教学资源在线开放，网上教学有序进行。2020年疫情期间线上教学受到安徽省教育网的报道和教育行政部门的表扬。</w:t>
      </w:r>
    </w:p>
    <w:p>
      <w:p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3教学方法改革</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（1）“一体化教学改革”。学校积极推进“一体化教学”教学模式改革，</w:t>
      </w:r>
      <w:r>
        <w:rPr>
          <w:rFonts w:hint="eastAsia" w:ascii="仿宋" w:hAnsi="仿宋" w:eastAsia="仿宋" w:cs="仿宋"/>
          <w:sz w:val="32"/>
          <w:szCs w:val="32"/>
        </w:rPr>
        <w:t>以“教中做、学中做，一体化实施”为教学方法和教学手段，集知识、技能和态度于一体</w:t>
      </w:r>
      <w:r>
        <w:rPr>
          <w:rFonts w:hint="eastAsia" w:ascii="仿宋" w:hAnsi="仿宋" w:eastAsia="仿宋" w:cs="仿宋"/>
          <w:sz w:val="32"/>
          <w:szCs w:val="32"/>
          <w:lang w:eastAsia="zh-CN"/>
        </w:rPr>
        <w:t>。近年</w:t>
      </w:r>
      <w:r>
        <w:rPr>
          <w:rFonts w:hint="eastAsia" w:ascii="仿宋" w:hAnsi="仿宋" w:eastAsia="仿宋" w:cs="仿宋"/>
          <w:sz w:val="32"/>
          <w:szCs w:val="32"/>
          <w:lang w:val="en-US" w:eastAsia="zh-CN"/>
        </w:rPr>
        <w:t>来，学校在课程、教学场所、师资、教材等方面取得了显著成果。体现在：“一体化教师”：</w:t>
      </w:r>
      <w:r>
        <w:rPr>
          <w:rFonts w:hint="eastAsia" w:ascii="仿宋" w:hAnsi="仿宋" w:eastAsia="仿宋" w:cs="仿宋"/>
          <w:sz w:val="32"/>
          <w:szCs w:val="32"/>
        </w:rPr>
        <w:t>建立</w:t>
      </w:r>
      <w:r>
        <w:rPr>
          <w:rFonts w:hint="eastAsia" w:ascii="仿宋" w:hAnsi="仿宋" w:eastAsia="仿宋" w:cs="仿宋"/>
          <w:sz w:val="32"/>
          <w:szCs w:val="32"/>
          <w:lang w:val="en-US" w:eastAsia="zh-CN"/>
        </w:rPr>
        <w:t>了</w:t>
      </w:r>
      <w:r>
        <w:rPr>
          <w:rFonts w:hint="eastAsia" w:ascii="仿宋" w:hAnsi="仿宋" w:eastAsia="仿宋" w:cs="仿宋"/>
          <w:sz w:val="32"/>
          <w:szCs w:val="32"/>
        </w:rPr>
        <w:t>一支“双师”结构的</w:t>
      </w:r>
      <w:r>
        <w:rPr>
          <w:rFonts w:hint="eastAsia" w:ascii="仿宋" w:hAnsi="仿宋" w:eastAsia="仿宋" w:cs="仿宋"/>
          <w:sz w:val="32"/>
          <w:szCs w:val="32"/>
          <w:lang w:val="en-US" w:eastAsia="zh-CN"/>
        </w:rPr>
        <w:t>合理</w:t>
      </w:r>
      <w:r>
        <w:rPr>
          <w:rFonts w:hint="eastAsia" w:ascii="仿宋" w:hAnsi="仿宋" w:eastAsia="仿宋" w:cs="仿宋"/>
          <w:sz w:val="32"/>
          <w:szCs w:val="32"/>
        </w:rPr>
        <w:t>教师队伍，</w:t>
      </w:r>
      <w:r>
        <w:rPr>
          <w:rFonts w:hint="eastAsia" w:ascii="仿宋" w:hAnsi="仿宋" w:eastAsia="仿宋" w:cs="仿宋"/>
          <w:sz w:val="32"/>
          <w:szCs w:val="32"/>
          <w:lang w:val="en-US" w:eastAsia="zh-CN"/>
        </w:rPr>
        <w:t>成</w:t>
      </w:r>
      <w:r>
        <w:rPr>
          <w:rFonts w:hint="eastAsia" w:ascii="仿宋" w:hAnsi="仿宋" w:eastAsia="仿宋" w:cs="仿宋"/>
          <w:sz w:val="32"/>
          <w:szCs w:val="32"/>
          <w:lang w:eastAsia="zh-CN"/>
        </w:rPr>
        <w:t>为</w:t>
      </w:r>
      <w:r>
        <w:rPr>
          <w:rFonts w:hint="eastAsia" w:ascii="仿宋" w:hAnsi="仿宋" w:eastAsia="仿宋" w:cs="仿宋"/>
          <w:sz w:val="32"/>
          <w:szCs w:val="32"/>
        </w:rPr>
        <w:t>开展一体化的重要保证</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一体化教材”：</w:t>
      </w:r>
      <w:r>
        <w:rPr>
          <w:rFonts w:hint="eastAsia" w:ascii="仿宋" w:hAnsi="仿宋" w:eastAsia="仿宋" w:cs="仿宋"/>
          <w:sz w:val="32"/>
          <w:szCs w:val="32"/>
          <w:lang w:eastAsia="zh-CN"/>
        </w:rPr>
        <w:t>专业核心课程</w:t>
      </w:r>
      <w:r>
        <w:rPr>
          <w:rFonts w:hint="eastAsia" w:ascii="仿宋" w:hAnsi="仿宋" w:eastAsia="仿宋" w:cs="仿宋"/>
          <w:sz w:val="32"/>
          <w:szCs w:val="32"/>
          <w:lang w:val="en-US" w:eastAsia="zh-CN"/>
        </w:rPr>
        <w:t>完成了14本</w:t>
      </w:r>
      <w:r>
        <w:rPr>
          <w:rFonts w:hint="eastAsia" w:ascii="仿宋" w:hAnsi="仿宋" w:eastAsia="仿宋" w:cs="仿宋"/>
          <w:sz w:val="32"/>
          <w:szCs w:val="32"/>
          <w:lang w:eastAsia="zh-CN"/>
        </w:rPr>
        <w:t>“一体化”教材的编写；“</w:t>
      </w:r>
      <w:r>
        <w:rPr>
          <w:rFonts w:hint="eastAsia" w:ascii="仿宋" w:hAnsi="仿宋" w:eastAsia="仿宋" w:cs="仿宋"/>
          <w:sz w:val="32"/>
          <w:szCs w:val="32"/>
          <w:lang w:val="en-US" w:eastAsia="zh-CN"/>
        </w:rPr>
        <w:t>一体化实训</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学校在机械、电工、电子、汽车、会计等专业的实训教学中有目的组织一体化实训教学，可以有效地将理论知识、学生实践能力培养和企业的工作环境以及各自工作职责结合起来；“一体化资源”：学校完成“一体化教学资源”专业课程合计53门。</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岗课赛证”育人。学校成立以党委书记、校长周波为首的“岗课赛证”育人领导小组，制定“岗课赛证”育人工作方案，以岗位能力为需求重构教学内容；以专业课程改革为抓手积极推进“三教”改革；以大赛为载体，全面提升学生综合职业能力；以职业技能等级证书为落脚点，构建育训并举的培养模式。积极的改革，带来了丰硕的成果。在</w:t>
      </w:r>
      <w:r>
        <w:rPr>
          <w:rFonts w:hint="eastAsia" w:ascii="仿宋" w:hAnsi="仿宋" w:eastAsia="仿宋" w:cs="仿宋"/>
          <w:sz w:val="32"/>
          <w:szCs w:val="32"/>
        </w:rPr>
        <w:t>2022年安徽省职业教育成果</w:t>
      </w:r>
      <w:r>
        <w:rPr>
          <w:rFonts w:hint="eastAsia" w:ascii="仿宋" w:hAnsi="仿宋" w:eastAsia="仿宋" w:cs="仿宋"/>
          <w:sz w:val="32"/>
          <w:szCs w:val="32"/>
          <w:lang w:val="en-US" w:eastAsia="zh-CN"/>
        </w:rPr>
        <w:t>奖评比中</w:t>
      </w:r>
      <w:r>
        <w:rPr>
          <w:rFonts w:hint="eastAsia" w:ascii="仿宋" w:hAnsi="仿宋" w:eastAsia="仿宋" w:cs="仿宋"/>
          <w:sz w:val="32"/>
          <w:szCs w:val="32"/>
        </w:rPr>
        <w:t>获省一等奖2个、二等奖1个；</w:t>
      </w:r>
      <w:r>
        <w:rPr>
          <w:rFonts w:hint="eastAsia" w:ascii="仿宋" w:hAnsi="仿宋" w:eastAsia="仿宋" w:cs="仿宋"/>
          <w:sz w:val="32"/>
          <w:szCs w:val="32"/>
          <w:lang w:val="en-US" w:eastAsia="zh-CN"/>
        </w:rPr>
        <w:t>2022年全国职业院校技能大赛国家级三等奖2项；学校</w:t>
      </w:r>
      <w:r>
        <w:rPr>
          <w:rFonts w:hint="eastAsia" w:ascii="仿宋" w:hAnsi="仿宋" w:eastAsia="仿宋" w:cs="仿宋"/>
          <w:sz w:val="32"/>
          <w:szCs w:val="32"/>
        </w:rPr>
        <w:t>是全国首批“1+X”证书制度试点中职学校</w:t>
      </w:r>
      <w:r>
        <w:rPr>
          <w:rFonts w:hint="eastAsia" w:ascii="仿宋" w:hAnsi="仿宋" w:eastAsia="仿宋" w:cs="仿宋"/>
          <w:sz w:val="32"/>
          <w:szCs w:val="32"/>
          <w:lang w:eastAsia="zh-CN"/>
        </w:rPr>
        <w:t>，</w:t>
      </w:r>
      <w:r>
        <w:rPr>
          <w:rFonts w:hint="eastAsia" w:ascii="仿宋" w:hAnsi="仿宋" w:eastAsia="仿宋" w:cs="仿宋"/>
          <w:sz w:val="32"/>
          <w:szCs w:val="32"/>
        </w:rPr>
        <w:t>现有19个“1+X”证书试点</w:t>
      </w:r>
      <w:r>
        <w:rPr>
          <w:rFonts w:hint="eastAsia" w:ascii="仿宋" w:hAnsi="仿宋" w:eastAsia="仿宋" w:cs="仿宋"/>
          <w:sz w:val="32"/>
          <w:szCs w:val="32"/>
          <w:lang w:eastAsia="zh-CN"/>
        </w:rPr>
        <w:t>，</w:t>
      </w:r>
      <w:r>
        <w:rPr>
          <w:rFonts w:hint="eastAsia" w:ascii="仿宋" w:hAnsi="仿宋" w:eastAsia="仿宋" w:cs="仿宋"/>
          <w:sz w:val="32"/>
          <w:szCs w:val="32"/>
        </w:rPr>
        <w:t>毕业生双证获得率为</w:t>
      </w:r>
      <w:r>
        <w:rPr>
          <w:rFonts w:hint="eastAsia" w:ascii="仿宋" w:hAnsi="仿宋" w:eastAsia="仿宋" w:cs="仿宋"/>
          <w:sz w:val="32"/>
          <w:szCs w:val="32"/>
          <w:lang w:val="en-US" w:eastAsia="zh-CN"/>
        </w:rPr>
        <w:t>8</w:t>
      </w:r>
      <w:r>
        <w:rPr>
          <w:rFonts w:hint="eastAsia" w:ascii="仿宋" w:hAnsi="仿宋" w:eastAsia="仿宋" w:cs="仿宋"/>
          <w:sz w:val="32"/>
          <w:szCs w:val="32"/>
        </w:rPr>
        <w:t>0%以上。</w:t>
      </w:r>
    </w:p>
    <w:p>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4教材建设质量</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学校成立有教材建设领导小组，教材的选用、审查、使用有严格的规章制度。依据学校的校本教材建设规划、管理办法，各专业按照时间节点完成校本教材的编写，目前主干专业已经完成25门校本教材的编写，校本教材的编写提高了专业教师的教学能力，完善了校本教材建设质量，提升了学生的学习水平。</w:t>
      </w:r>
    </w:p>
    <w:p>
      <w:pPr>
        <w:numPr>
          <w:ilvl w:val="0"/>
          <w:numId w:val="0"/>
        </w:numPr>
        <w:ind w:firstLine="643" w:firstLineChars="20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5数字化资源建设</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学校重视信息化、数字化建设，建成了“一平台、三中心、七系统”的数字化校园管理系统。校园网及Wifi全覆盖、宽带接入1000兆以上。现有90个教室、70多个实训室，均可实现网络化教学。学校教学用计算机师机比1:1，学生用1727台，生机比2.96:1。能够充分运用信息化手段开展教学与管理，师生均开通了网络学习空间。2018年被评定为职业院校数字校园实验校，2019年成为安徽省首批中等职业学校智慧校园试点校，2020年被评为教育部-全国网络学习空间应用普及优秀学校。</w:t>
      </w:r>
    </w:p>
    <w:p>
      <w:pPr>
        <w:pStyle w:val="26"/>
        <w:keepNext w:val="0"/>
        <w:keepLines w:val="0"/>
        <w:pageBreakBefore w:val="0"/>
        <w:tabs>
          <w:tab w:val="left" w:pos="1364"/>
        </w:tabs>
        <w:kinsoku/>
        <w:wordWrap/>
        <w:overflowPunct/>
        <w:topLinePunct w:val="0"/>
        <w:bidi w:val="0"/>
        <w:spacing w:before="35" w:line="360" w:lineRule="auto"/>
        <w:ind w:right="0" w:firstLine="640"/>
        <w:textAlignment w:val="auto"/>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6师资队伍建设</w:t>
      </w:r>
    </w:p>
    <w:p>
      <w:pPr>
        <w:pStyle w:val="26"/>
        <w:keepNext w:val="0"/>
        <w:keepLines w:val="0"/>
        <w:pageBreakBefore w:val="0"/>
        <w:tabs>
          <w:tab w:val="left" w:pos="1364"/>
        </w:tabs>
        <w:kinsoku/>
        <w:wordWrap/>
        <w:overflowPunct/>
        <w:topLinePunct w:val="0"/>
        <w:bidi w:val="0"/>
        <w:spacing w:before="35" w:line="360" w:lineRule="auto"/>
        <w:ind w:right="0" w:firstLine="640"/>
        <w:textAlignment w:val="auto"/>
        <w:rPr>
          <w:rFonts w:hint="eastAsia" w:ascii="仿宋" w:hAnsi="仿宋" w:eastAsia="仿宋" w:cs="仿宋"/>
          <w:sz w:val="32"/>
          <w:szCs w:val="32"/>
        </w:rPr>
      </w:pPr>
      <w:r>
        <w:rPr>
          <w:rFonts w:hint="eastAsia" w:ascii="仿宋" w:hAnsi="仿宋" w:eastAsia="仿宋" w:cs="仿宋"/>
          <w:sz w:val="32"/>
          <w:szCs w:val="32"/>
        </w:rPr>
        <w:t>学校重视师资队伍建设，基本建成一支专兼结合、结构合理、素质优良的教师队伍。现有专任教师305人，本科学历占比98%，专业教师209人，占比68.5%；硕士以上学位占比4.6%；正高级职称5人，高级职称教师72人，占比25.3.8%；兼职教师96人，占比 31.4 %；双师型教师168人，占专业教师的80.4%；各主干专业配备了2位副高以上职称的专任教师。目前在校学生 5124人，师生比达到1:16.8。先后涌现出了十多名“省级特级教师”“省级教坛之星”“省级优秀班主任”“全省德育先进个人”“市级学科带头人”“市级骨干教师”。建有5个省级名师工作坊，1个省级名班主任工作室，2个市级技能大师工作室。</w:t>
      </w:r>
    </w:p>
    <w:p>
      <w:pPr>
        <w:pStyle w:val="26"/>
        <w:keepNext w:val="0"/>
        <w:keepLines w:val="0"/>
        <w:pageBreakBefore w:val="0"/>
        <w:tabs>
          <w:tab w:val="left" w:pos="1364"/>
        </w:tabs>
        <w:kinsoku/>
        <w:wordWrap/>
        <w:overflowPunct/>
        <w:topLinePunct w:val="0"/>
        <w:bidi w:val="0"/>
        <w:spacing w:before="35" w:line="360" w:lineRule="auto"/>
        <w:ind w:right="0" w:firstLine="64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7校企双元育人</w:t>
      </w:r>
    </w:p>
    <w:p>
      <w:pPr>
        <w:pStyle w:val="50"/>
        <w:spacing w:line="360" w:lineRule="auto"/>
        <w:ind w:firstLine="640" w:firstLineChars="200"/>
        <w:rPr>
          <w:rFonts w:hint="eastAsia" w:ascii="仿宋" w:hAnsi="仿宋" w:eastAsia="仿宋" w:cs="仿宋"/>
          <w:bCs/>
          <w:sz w:val="32"/>
          <w:szCs w:val="32"/>
          <w:lang w:eastAsia="zh-CN"/>
        </w:rPr>
      </w:pP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1</w:t>
      </w:r>
      <w:r>
        <w:rPr>
          <w:rFonts w:hint="eastAsia" w:ascii="仿宋" w:hAnsi="仿宋" w:eastAsia="仿宋" w:cs="仿宋"/>
          <w:bCs/>
          <w:sz w:val="32"/>
          <w:szCs w:val="32"/>
          <w:lang w:eastAsia="zh-CN"/>
        </w:rPr>
        <w:t>）制定各项管理制度。在学校专门的领导小组办公室具体组织下，制定了“阜阳工业经济学校校企合作发展规划”、“阜阳工业经济学校校企合作项目管理办法”、“学生校外实习管理办法”、“阜阳工业经济学校毕业生（实习生）回访制度”、“阜阳工业经济学校学生岗位实习安全及突发事件应急预案”等相关管理制度。</w:t>
      </w:r>
    </w:p>
    <w:p>
      <w:pPr>
        <w:pStyle w:val="50"/>
        <w:spacing w:line="360" w:lineRule="auto"/>
        <w:ind w:firstLine="640" w:firstLineChars="200"/>
        <w:rPr>
          <w:rFonts w:hint="eastAsia" w:ascii="仿宋" w:hAnsi="仿宋" w:eastAsia="仿宋" w:cs="仿宋"/>
          <w:bCs/>
          <w:sz w:val="32"/>
          <w:szCs w:val="32"/>
          <w:lang w:eastAsia="zh-CN"/>
        </w:rPr>
      </w:pP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2</w:t>
      </w:r>
      <w:r>
        <w:rPr>
          <w:rFonts w:hint="eastAsia" w:ascii="仿宋" w:hAnsi="仿宋" w:eastAsia="仿宋" w:cs="仿宋"/>
          <w:bCs/>
          <w:sz w:val="32"/>
          <w:szCs w:val="32"/>
          <w:lang w:eastAsia="zh-CN"/>
        </w:rPr>
        <w:t>）校企合作关系进一步加深。在学校统一组织下，各专业积极开展调研和研讨，精选合作企业，现每个主干专业已与 3 个以上有较大影响力的企业建立了稳定的合作关系，如计算机专业与阜阳市云康云计算有限公司、阜阳市天阳信息科技有限公司等公司，会计专业与安徽大正会计师事务所等公司，数控专业与阜阳信泰机电有限公司等公司，汽修专业与阜阳嘉华汽车销售有限公司等公司，电子商务专业与阜阳市华宇传媒有限公司等公司均建立了稳定的合作关系。学校与颍州区人民政府签订专业共建与合作办学协议书及校企合作框架协议。</w:t>
      </w:r>
    </w:p>
    <w:p>
      <w:pPr>
        <w:pStyle w:val="50"/>
        <w:spacing w:line="360" w:lineRule="auto"/>
        <w:ind w:firstLine="640" w:firstLineChars="200"/>
        <w:rPr>
          <w:rFonts w:hint="default" w:ascii="仿宋" w:hAnsi="仿宋" w:eastAsia="仿宋" w:cs="仿宋"/>
          <w:bCs/>
          <w:sz w:val="32"/>
          <w:szCs w:val="32"/>
          <w:lang w:val="en-US" w:eastAsia="zh-CN"/>
        </w:rPr>
      </w:pP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3</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校企育人成绩突出。</w:t>
      </w:r>
      <w:r>
        <w:rPr>
          <w:rFonts w:hint="eastAsia" w:ascii="仿宋" w:hAnsi="仿宋" w:eastAsia="仿宋" w:cs="仿宋"/>
          <w:bCs/>
          <w:sz w:val="32"/>
          <w:szCs w:val="32"/>
          <w:lang w:eastAsia="zh-CN"/>
        </w:rPr>
        <w:t>2018年被评为安徽省首批校企合作示范典型学校，</w:t>
      </w:r>
      <w:r>
        <w:rPr>
          <w:rFonts w:hint="eastAsia" w:ascii="仿宋" w:hAnsi="仿宋" w:eastAsia="仿宋" w:cs="仿宋"/>
          <w:bCs/>
          <w:sz w:val="32"/>
          <w:szCs w:val="32"/>
          <w:lang w:val="en-US" w:eastAsia="zh-CN"/>
        </w:rPr>
        <w:t>2021年被评为安徽省职业教育创新发展实验区—校企深度合作示范学校培育项目。</w:t>
      </w:r>
    </w:p>
    <w:p>
      <w:pPr>
        <w:pStyle w:val="50"/>
        <w:spacing w:line="360" w:lineRule="auto"/>
        <w:ind w:firstLine="640" w:firstLineChars="200"/>
        <w:rPr>
          <w:rFonts w:hint="eastAsia" w:ascii="仿宋" w:hAnsi="仿宋" w:eastAsia="仿宋" w:cs="仿宋"/>
          <w:bCs/>
          <w:sz w:val="32"/>
          <w:szCs w:val="32"/>
          <w:lang w:eastAsia="zh-CN"/>
        </w:rPr>
      </w:pP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4</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职教</w:t>
      </w:r>
      <w:r>
        <w:rPr>
          <w:rFonts w:hint="eastAsia" w:ascii="仿宋" w:hAnsi="仿宋" w:eastAsia="仿宋" w:cs="仿宋"/>
          <w:bCs/>
          <w:sz w:val="32"/>
          <w:szCs w:val="32"/>
          <w:lang w:eastAsia="zh-CN"/>
        </w:rPr>
        <w:t>集团</w:t>
      </w:r>
      <w:r>
        <w:rPr>
          <w:rFonts w:hint="eastAsia" w:ascii="仿宋" w:hAnsi="仿宋" w:eastAsia="仿宋" w:cs="仿宋"/>
          <w:bCs/>
          <w:sz w:val="32"/>
          <w:szCs w:val="32"/>
          <w:lang w:val="en-US" w:eastAsia="zh-CN"/>
        </w:rPr>
        <w:t>质量提升</w:t>
      </w:r>
      <w:r>
        <w:rPr>
          <w:rFonts w:hint="eastAsia" w:ascii="仿宋" w:hAnsi="仿宋" w:eastAsia="仿宋" w:cs="仿宋"/>
          <w:bCs/>
          <w:sz w:val="32"/>
          <w:szCs w:val="32"/>
          <w:lang w:eastAsia="zh-CN"/>
        </w:rPr>
        <w:t>。我校牵头组建的职教集团，集团成员单位学生竞赛获奖质量、数量居阜阳市首位，尤其我校国赛获奖数量最多；集团成员阜阳科技工程学校实现了阜阳市金牌为零的突破、阜阳职业技术学校（原颍东职教中心）目前金牌数量最多。集团成员学校进步明显，国赛获奖数量、质量大幅提升。</w:t>
      </w:r>
    </w:p>
    <w:p>
      <w:pPr>
        <w:spacing w:line="288" w:lineRule="auto"/>
        <w:ind w:firstLine="640" w:firstLineChars="200"/>
        <w:rPr>
          <w:rFonts w:hint="eastAsia" w:ascii="仿宋" w:hAnsi="仿宋" w:eastAsia="仿宋" w:cs="仿宋"/>
          <w:sz w:val="32"/>
          <w:szCs w:val="32"/>
        </w:rPr>
      </w:pP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5</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现代学徒制</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工作有序推进。</w:t>
      </w:r>
      <w:r>
        <w:rPr>
          <w:rFonts w:hint="eastAsia" w:ascii="仿宋" w:hAnsi="仿宋" w:eastAsia="仿宋" w:cs="仿宋"/>
          <w:sz w:val="32"/>
          <w:szCs w:val="32"/>
        </w:rPr>
        <w:t>学校自2019年起就中餐烹饪专业与同庆楼、杭州名人名家等企业开展现代学徒制项目建设，形成了“两师带一徒”跟踪指导模式，取得了良好效果。</w:t>
      </w:r>
    </w:p>
    <w:p>
      <w:pPr>
        <w:pStyle w:val="50"/>
        <w:spacing w:line="360" w:lineRule="auto"/>
        <w:ind w:firstLine="640" w:firstLineChars="200"/>
        <w:rPr>
          <w:rFonts w:hint="eastAsia" w:ascii="仿宋" w:hAnsi="仿宋" w:eastAsia="仿宋" w:cs="仿宋"/>
          <w:sz w:val="32"/>
          <w:szCs w:val="32"/>
          <w:lang w:val="en-US" w:eastAsia="zh-CN" w:bidi="ar-SA"/>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1+X</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证书成果显著。</w:t>
      </w:r>
      <w:r>
        <w:rPr>
          <w:rFonts w:hint="eastAsia" w:ascii="仿宋" w:hAnsi="仿宋" w:eastAsia="仿宋" w:cs="仿宋"/>
          <w:sz w:val="32"/>
          <w:szCs w:val="32"/>
          <w:lang w:val="en-US" w:eastAsia="zh-CN" w:bidi="ar-SA"/>
        </w:rPr>
        <w:t>2019年6月17日教育部职业技术教育中心研究所印发了《关于首批1+X证书制度试点院校名单的公告》，我校为首批试点院校之一。目前学校参与了“Web前端开发”、“智能财税”、物联网智能家居系统集成和应用、WPS办公应用、个税计算等19个“1+X”证书试点，近三年共计组织近5000人次参加1+X证书及其他职业能力证书考试工作，</w:t>
      </w:r>
      <w:r>
        <w:rPr>
          <w:rFonts w:hint="eastAsia" w:ascii="仿宋" w:hAnsi="仿宋" w:eastAsia="仿宋" w:cs="仿宋"/>
          <w:sz w:val="32"/>
          <w:szCs w:val="32"/>
        </w:rPr>
        <w:t>毕业生双证获得率为</w:t>
      </w:r>
      <w:r>
        <w:rPr>
          <w:rFonts w:hint="eastAsia" w:ascii="仿宋" w:hAnsi="仿宋" w:eastAsia="仿宋" w:cs="仿宋"/>
          <w:sz w:val="32"/>
          <w:szCs w:val="32"/>
          <w:lang w:val="en-US" w:eastAsia="zh-CN"/>
        </w:rPr>
        <w:t>8</w:t>
      </w:r>
      <w:r>
        <w:rPr>
          <w:rFonts w:hint="eastAsia" w:ascii="仿宋" w:hAnsi="仿宋" w:eastAsia="仿宋" w:cs="仿宋"/>
          <w:sz w:val="32"/>
          <w:szCs w:val="32"/>
        </w:rPr>
        <w:t>0%以上</w:t>
      </w:r>
      <w:r>
        <w:rPr>
          <w:rFonts w:hint="eastAsia" w:ascii="仿宋" w:hAnsi="仿宋" w:eastAsia="仿宋" w:cs="仿宋"/>
          <w:sz w:val="32"/>
          <w:szCs w:val="32"/>
          <w:lang w:eastAsia="zh-CN"/>
        </w:rPr>
        <w:t>。</w:t>
      </w:r>
    </w:p>
    <w:p>
      <w:p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四、服务贡献</w:t>
      </w:r>
    </w:p>
    <w:p>
      <w:p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1服务行业企业</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学校坚持成人教育与学历教育均衡发展</w:t>
      </w:r>
      <w:r>
        <w:rPr>
          <w:rFonts w:hint="eastAsia" w:ascii="仿宋" w:hAnsi="仿宋" w:eastAsia="仿宋" w:cs="仿宋"/>
          <w:sz w:val="32"/>
          <w:szCs w:val="32"/>
          <w:lang w:eastAsia="zh-CN"/>
        </w:rPr>
        <w:t>，</w:t>
      </w:r>
      <w:r>
        <w:rPr>
          <w:rFonts w:hint="eastAsia" w:ascii="仿宋" w:hAnsi="仿宋" w:eastAsia="仿宋" w:cs="仿宋"/>
          <w:sz w:val="32"/>
          <w:szCs w:val="32"/>
        </w:rPr>
        <w:t>利用北校区资源积极承担各类成人教育、短期培训，</w:t>
      </w:r>
      <w:r>
        <w:rPr>
          <w:rFonts w:hint="eastAsia" w:ascii="仿宋" w:hAnsi="仿宋" w:eastAsia="仿宋" w:cs="仿宋"/>
          <w:sz w:val="32"/>
          <w:szCs w:val="32"/>
          <w:lang w:eastAsia="zh-CN"/>
        </w:rPr>
        <w:t>如</w:t>
      </w:r>
      <w:r>
        <w:rPr>
          <w:rFonts w:hint="eastAsia" w:ascii="仿宋" w:hAnsi="仿宋" w:eastAsia="仿宋" w:cs="仿宋"/>
          <w:sz w:val="32"/>
          <w:szCs w:val="32"/>
        </w:rPr>
        <w:t>皖北五市乡镇财政干部</w:t>
      </w:r>
      <w:r>
        <w:rPr>
          <w:rFonts w:hint="eastAsia" w:ascii="仿宋" w:hAnsi="仿宋" w:eastAsia="仿宋" w:cs="仿宋"/>
          <w:sz w:val="32"/>
          <w:szCs w:val="32"/>
          <w:lang w:eastAsia="zh-CN"/>
        </w:rPr>
        <w:t>培训、创业培训班、成人高等教育函授站等。</w:t>
      </w:r>
      <w:r>
        <w:rPr>
          <w:rFonts w:hint="eastAsia" w:ascii="仿宋" w:hAnsi="仿宋" w:eastAsia="仿宋" w:cs="仿宋"/>
          <w:sz w:val="32"/>
          <w:szCs w:val="32"/>
          <w:lang w:val="en-US" w:eastAsia="zh-CN"/>
        </w:rPr>
        <w:t>从2021年3月份开始</w:t>
      </w:r>
      <w:r>
        <w:rPr>
          <w:rFonts w:hint="eastAsia" w:ascii="仿宋" w:hAnsi="仿宋" w:eastAsia="仿宋" w:cs="仿宋"/>
          <w:sz w:val="32"/>
          <w:szCs w:val="32"/>
          <w:lang w:eastAsia="zh-CN"/>
        </w:rPr>
        <w:t>学校投入近</w:t>
      </w:r>
      <w:r>
        <w:rPr>
          <w:rFonts w:hint="eastAsia" w:ascii="仿宋" w:hAnsi="仿宋" w:eastAsia="仿宋" w:cs="仿宋"/>
          <w:sz w:val="32"/>
          <w:szCs w:val="32"/>
          <w:lang w:val="en-US" w:eastAsia="zh-CN"/>
        </w:rPr>
        <w:t>200万资金，</w:t>
      </w:r>
      <w:r>
        <w:rPr>
          <w:rFonts w:hint="eastAsia" w:ascii="仿宋" w:hAnsi="仿宋" w:eastAsia="仿宋" w:cs="仿宋"/>
          <w:sz w:val="32"/>
          <w:szCs w:val="32"/>
        </w:rPr>
        <w:t>对培训基地环境进行了全面的硬件升级改造，</w:t>
      </w:r>
      <w:r>
        <w:rPr>
          <w:rFonts w:hint="eastAsia" w:ascii="仿宋" w:hAnsi="仿宋" w:eastAsia="仿宋" w:cs="仿宋"/>
          <w:sz w:val="32"/>
          <w:szCs w:val="32"/>
          <w:lang w:eastAsia="zh-CN"/>
        </w:rPr>
        <w:t>及大地提高了</w:t>
      </w:r>
      <w:r>
        <w:rPr>
          <w:rFonts w:hint="eastAsia" w:ascii="仿宋" w:hAnsi="仿宋" w:eastAsia="仿宋" w:cs="仿宋"/>
          <w:sz w:val="32"/>
          <w:szCs w:val="32"/>
        </w:rPr>
        <w:t>教学</w:t>
      </w:r>
      <w:r>
        <w:rPr>
          <w:rFonts w:hint="eastAsia" w:ascii="仿宋" w:hAnsi="仿宋" w:eastAsia="仿宋" w:cs="仿宋"/>
          <w:sz w:val="32"/>
          <w:szCs w:val="32"/>
          <w:lang w:eastAsia="zh-CN"/>
        </w:rPr>
        <w:t>和生活效果</w:t>
      </w:r>
      <w:r>
        <w:rPr>
          <w:rFonts w:hint="eastAsia" w:ascii="仿宋" w:hAnsi="仿宋" w:eastAsia="仿宋" w:cs="仿宋"/>
          <w:sz w:val="32"/>
          <w:szCs w:val="32"/>
        </w:rPr>
        <w:t>。</w:t>
      </w:r>
      <w:r>
        <w:rPr>
          <w:rFonts w:hint="eastAsia" w:ascii="仿宋" w:hAnsi="仿宋" w:eastAsia="仿宋" w:cs="仿宋"/>
          <w:sz w:val="32"/>
          <w:szCs w:val="32"/>
          <w:lang w:val="en-US" w:eastAsia="zh-CN"/>
        </w:rPr>
        <w:t>2022年共计完成各项培训7412人次。</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学校利用自身优势，积极参与企业技术创新和研发</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计算机应用专业两位正高级讲师程训剑、王志强与企业密切合作，完成专利发明4项，赢得了企业的一致好评。</w:t>
      </w:r>
    </w:p>
    <w:p>
      <w:p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2对口服务职业院校</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b w:val="0"/>
          <w:bCs/>
          <w:sz w:val="32"/>
          <w:szCs w:val="32"/>
          <w:lang w:val="en-US" w:eastAsia="zh-CN"/>
        </w:rPr>
        <w:t>学</w:t>
      </w:r>
      <w:r>
        <w:rPr>
          <w:rFonts w:hint="eastAsia" w:ascii="仿宋" w:hAnsi="仿宋" w:eastAsia="仿宋" w:cs="仿宋"/>
          <w:b w:val="0"/>
          <w:bCs/>
          <w:sz w:val="32"/>
          <w:szCs w:val="32"/>
        </w:rPr>
        <w:t>校与阜阳科学技术学校签订《对口支援协议书》，选派</w:t>
      </w:r>
      <w:r>
        <w:rPr>
          <w:rFonts w:hint="eastAsia" w:ascii="仿宋" w:hAnsi="仿宋" w:eastAsia="仿宋" w:cs="仿宋"/>
          <w:b w:val="0"/>
          <w:bCs/>
          <w:sz w:val="32"/>
          <w:szCs w:val="32"/>
          <w:lang w:val="en-US" w:eastAsia="zh-CN"/>
        </w:rPr>
        <w:t>计算机技术应用专业正高级</w:t>
      </w:r>
      <w:r>
        <w:rPr>
          <w:rFonts w:hint="eastAsia" w:ascii="仿宋" w:hAnsi="仿宋" w:eastAsia="仿宋" w:cs="仿宋"/>
          <w:b w:val="0"/>
          <w:bCs/>
          <w:sz w:val="32"/>
          <w:szCs w:val="32"/>
        </w:rPr>
        <w:t>教师</w:t>
      </w:r>
      <w:r>
        <w:rPr>
          <w:rFonts w:hint="eastAsia" w:ascii="仿宋" w:hAnsi="仿宋" w:eastAsia="仿宋" w:cs="仿宋"/>
          <w:b w:val="0"/>
          <w:bCs/>
          <w:sz w:val="32"/>
          <w:szCs w:val="32"/>
          <w:lang w:val="en-US" w:eastAsia="zh-CN"/>
        </w:rPr>
        <w:t>程训剑、王志强</w:t>
      </w:r>
      <w:r>
        <w:rPr>
          <w:rFonts w:hint="eastAsia" w:ascii="仿宋" w:hAnsi="仿宋" w:eastAsia="仿宋" w:cs="仿宋"/>
          <w:b w:val="0"/>
          <w:bCs/>
          <w:sz w:val="32"/>
          <w:szCs w:val="32"/>
        </w:rPr>
        <w:t>赴阜阳科学技术学校进行专业建设帮扶</w:t>
      </w:r>
      <w:r>
        <w:rPr>
          <w:rFonts w:hint="eastAsia" w:ascii="仿宋" w:hAnsi="仿宋" w:eastAsia="仿宋" w:cs="仿宋"/>
          <w:b w:val="0"/>
          <w:bCs/>
          <w:sz w:val="32"/>
          <w:szCs w:val="32"/>
          <w:lang w:eastAsia="zh-CN"/>
        </w:rPr>
        <w:t>。</w:t>
      </w:r>
      <w:r>
        <w:rPr>
          <w:rFonts w:hint="eastAsia" w:ascii="仿宋" w:hAnsi="仿宋" w:eastAsia="仿宋" w:cs="仿宋"/>
          <w:sz w:val="32"/>
          <w:szCs w:val="32"/>
        </w:rPr>
        <w:t>两位教师通过讲座、授课、技能指导等方式开展了大量的</w:t>
      </w:r>
      <w:r>
        <w:rPr>
          <w:rFonts w:hint="eastAsia" w:ascii="仿宋" w:hAnsi="仿宋" w:eastAsia="仿宋" w:cs="仿宋"/>
          <w:sz w:val="32"/>
          <w:szCs w:val="32"/>
          <w:lang w:val="en-US" w:eastAsia="zh-CN"/>
        </w:rPr>
        <w:t>教科研</w:t>
      </w:r>
      <w:r>
        <w:rPr>
          <w:rFonts w:hint="eastAsia" w:ascii="仿宋" w:hAnsi="仿宋" w:eastAsia="仿宋" w:cs="仿宋"/>
          <w:sz w:val="32"/>
          <w:szCs w:val="32"/>
        </w:rPr>
        <w:t>活动，</w:t>
      </w:r>
      <w:r>
        <w:rPr>
          <w:rFonts w:hint="eastAsia" w:ascii="仿宋" w:hAnsi="仿宋" w:eastAsia="仿宋" w:cs="仿宋"/>
          <w:sz w:val="32"/>
          <w:szCs w:val="32"/>
          <w:lang w:val="en-US" w:eastAsia="zh-CN"/>
        </w:rPr>
        <w:t>完善了被支援学校专业人才培养方案修订、改造完成被支援学校信息专业实训室，</w:t>
      </w:r>
      <w:r>
        <w:rPr>
          <w:rFonts w:hint="eastAsia" w:ascii="仿宋" w:hAnsi="仿宋" w:eastAsia="仿宋" w:cs="仿宋"/>
          <w:sz w:val="32"/>
          <w:szCs w:val="32"/>
        </w:rPr>
        <w:t>推动了阜阳科学技术学校计算机应用专业的发展</w:t>
      </w:r>
      <w:r>
        <w:rPr>
          <w:rFonts w:hint="eastAsia" w:ascii="仿宋" w:hAnsi="仿宋" w:eastAsia="仿宋" w:cs="仿宋"/>
          <w:sz w:val="32"/>
          <w:szCs w:val="32"/>
          <w:lang w:eastAsia="zh-CN"/>
        </w:rPr>
        <w:t>。</w:t>
      </w:r>
      <w:r>
        <w:rPr>
          <w:rFonts w:hint="eastAsia" w:ascii="仿宋" w:hAnsi="仿宋" w:eastAsia="仿宋" w:cs="仿宋"/>
          <w:sz w:val="32"/>
          <w:szCs w:val="32"/>
        </w:rPr>
        <w:t>在</w:t>
      </w:r>
      <w:r>
        <w:rPr>
          <w:rFonts w:hint="eastAsia" w:ascii="仿宋" w:hAnsi="仿宋" w:eastAsia="仿宋" w:cs="仿宋"/>
          <w:sz w:val="32"/>
          <w:szCs w:val="32"/>
          <w:lang w:val="en-US" w:eastAsia="zh-CN"/>
        </w:rPr>
        <w:t>两位教师指导下，在</w:t>
      </w: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年阜阳市“三优作品”评选中，</w:t>
      </w:r>
      <w:r>
        <w:rPr>
          <w:rFonts w:hint="eastAsia" w:ascii="仿宋" w:hAnsi="仿宋" w:eastAsia="仿宋" w:cs="仿宋"/>
          <w:sz w:val="32"/>
          <w:szCs w:val="32"/>
          <w:lang w:val="en-US" w:eastAsia="zh-CN"/>
        </w:rPr>
        <w:t>该校</w:t>
      </w:r>
      <w:r>
        <w:rPr>
          <w:rFonts w:hint="eastAsia" w:ascii="仿宋" w:hAnsi="仿宋" w:eastAsia="仿宋" w:cs="仿宋"/>
          <w:sz w:val="32"/>
          <w:szCs w:val="32"/>
        </w:rPr>
        <w:t>陈守林等2位教师获得了市级二等奖的好成绩。</w:t>
      </w:r>
    </w:p>
    <w:p>
      <w:p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3服务乡村振兴</w:t>
      </w:r>
    </w:p>
    <w:p>
      <w:pPr>
        <w:ind w:firstLine="640" w:firstLineChars="200"/>
        <w:rPr>
          <w:rFonts w:hint="eastAsia" w:ascii="仿宋_GB2312" w:hAnsi="仿宋_GB2312" w:eastAsia="仿宋_GB2312" w:cs="仿宋_GB2312"/>
          <w:sz w:val="32"/>
          <w:szCs w:val="32"/>
          <w:lang w:val="en-US" w:eastAsia="zh-CN"/>
        </w:rPr>
      </w:pPr>
      <w:r>
        <w:rPr>
          <w:rFonts w:hint="eastAsia" w:ascii="仿宋" w:hAnsi="仿宋" w:eastAsia="仿宋" w:cs="仿宋"/>
          <w:b w:val="0"/>
          <w:bCs w:val="0"/>
          <w:sz w:val="32"/>
          <w:szCs w:val="32"/>
          <w:lang w:val="en-US" w:eastAsia="zh-CN"/>
        </w:rPr>
        <w:t>根据中共阜阳市委农村工作领导小组印发 《关于深入推进“五大帮扶”工作实施方案》的通知》（皖农组发〔2022〕5号）精神，学校通过对定点帮扶村</w:t>
      </w:r>
      <w:r>
        <w:rPr>
          <w:rFonts w:hint="eastAsia" w:ascii="仿宋" w:hAnsi="仿宋" w:eastAsia="仿宋" w:cs="仿宋"/>
          <w:b w:val="0"/>
          <w:bCs w:val="0"/>
          <w:sz w:val="32"/>
          <w:szCs w:val="32"/>
          <w:lang w:val="zh-CN"/>
        </w:rPr>
        <w:t>江台行政村乡村振兴基础调研，</w:t>
      </w:r>
      <w:r>
        <w:rPr>
          <w:rFonts w:hint="eastAsia" w:ascii="仿宋" w:hAnsi="仿宋" w:eastAsia="仿宋" w:cs="仿宋"/>
          <w:b w:val="0"/>
          <w:bCs w:val="0"/>
          <w:sz w:val="32"/>
          <w:szCs w:val="32"/>
          <w:lang w:val="en-US" w:eastAsia="zh-CN"/>
        </w:rPr>
        <w:t>结合实际，制定了《阜阳工业经济学校帮扶工作实施方案》、《2022年阜阳工业经济学校定点帮扶工作计划》。明确驻村帮扶责任、全面落实工作职责。2022年在</w:t>
      </w:r>
      <w:r>
        <w:rPr>
          <w:rFonts w:hint="eastAsia" w:ascii="仿宋_GB2312" w:hAnsi="仿宋_GB2312" w:eastAsia="仿宋_GB2312" w:cs="仿宋_GB2312"/>
          <w:sz w:val="32"/>
          <w:szCs w:val="32"/>
        </w:rPr>
        <w:t>“防返贫致贫大摸排”、房屋排查、五保低保核减、疫苗接种，返乡人员摸排、人居环境整治</w:t>
      </w:r>
      <w:r>
        <w:rPr>
          <w:rFonts w:hint="eastAsia" w:ascii="仿宋_GB2312" w:hAnsi="仿宋_GB2312" w:eastAsia="仿宋_GB2312" w:cs="仿宋_GB2312"/>
          <w:sz w:val="32"/>
          <w:szCs w:val="32"/>
          <w:lang w:val="en-US" w:eastAsia="zh-CN"/>
        </w:rPr>
        <w:t>等工作中均取得了明显成效。具体体现为以下方面：</w:t>
      </w:r>
    </w:p>
    <w:p>
      <w:pPr>
        <w:pStyle w:val="51"/>
        <w:numPr>
          <w:ilvl w:val="0"/>
          <w:numId w:val="1"/>
        </w:numPr>
        <w:ind w:firstLine="600" w:firstLineChars="200"/>
        <w:rPr>
          <w:rFonts w:hint="eastAsia" w:ascii="仿宋_GB2312" w:hAnsi="仿宋_GB2312" w:cs="仿宋_GB2312"/>
          <w:color w:val="auto"/>
          <w:sz w:val="30"/>
          <w:szCs w:val="30"/>
        </w:rPr>
      </w:pPr>
      <w:r>
        <w:rPr>
          <w:rFonts w:hint="eastAsia" w:ascii="仿宋_GB2312" w:hAnsi="仿宋_GB2312" w:cs="仿宋_GB2312"/>
          <w:color w:val="auto"/>
          <w:sz w:val="30"/>
          <w:szCs w:val="30"/>
        </w:rPr>
        <w:t>按照</w:t>
      </w:r>
      <w:r>
        <w:rPr>
          <w:rFonts w:hint="eastAsia" w:ascii="仿宋_GB2312" w:hAnsi="仿宋_GB2312" w:cs="仿宋_GB2312"/>
          <w:color w:val="auto"/>
          <w:sz w:val="30"/>
          <w:szCs w:val="30"/>
          <w:lang w:val="en-US" w:eastAsia="zh-CN"/>
        </w:rPr>
        <w:t>驻村</w:t>
      </w:r>
      <w:r>
        <w:rPr>
          <w:rFonts w:hint="eastAsia" w:ascii="仿宋_GB2312" w:hAnsi="仿宋_GB2312" w:cs="仿宋_GB2312"/>
          <w:color w:val="auto"/>
          <w:sz w:val="30"/>
          <w:szCs w:val="30"/>
        </w:rPr>
        <w:t>“第一书记”抓党建的要求，</w:t>
      </w:r>
      <w:r>
        <w:rPr>
          <w:rFonts w:hint="eastAsia" w:ascii="仿宋_GB2312" w:hAnsi="仿宋_GB2312" w:cs="仿宋_GB2312"/>
          <w:color w:val="auto"/>
          <w:sz w:val="30"/>
          <w:szCs w:val="30"/>
          <w:lang w:val="en-US" w:eastAsia="zh-CN"/>
        </w:rPr>
        <w:t>2022</w:t>
      </w:r>
      <w:r>
        <w:rPr>
          <w:rFonts w:hint="eastAsia" w:ascii="仿宋_GB2312" w:hAnsi="仿宋_GB2312" w:cs="仿宋_GB2312"/>
          <w:color w:val="auto"/>
          <w:sz w:val="30"/>
          <w:szCs w:val="30"/>
        </w:rPr>
        <w:t>年共召开两次全体党员大会，组织进行了党史常态化学习、十九届六中全会精神宣讲，发展预备党员一名，从青年志愿者中培养后备干部两名，纪律处分党员1名。</w:t>
      </w:r>
    </w:p>
    <w:p>
      <w:pPr>
        <w:pStyle w:val="51"/>
        <w:numPr>
          <w:ilvl w:val="0"/>
          <w:numId w:val="1"/>
        </w:numPr>
        <w:ind w:firstLine="600" w:firstLineChars="200"/>
        <w:rPr>
          <w:rFonts w:hint="eastAsia" w:ascii="仿宋_GB2312" w:hAnsi="仿宋_GB2312" w:cs="仿宋_GB2312"/>
          <w:color w:val="auto"/>
          <w:sz w:val="30"/>
          <w:szCs w:val="30"/>
        </w:rPr>
      </w:pPr>
      <w:r>
        <w:rPr>
          <w:rFonts w:hint="eastAsia" w:ascii="仿宋_GB2312" w:hAnsi="仿宋_GB2312" w:cs="仿宋_GB2312"/>
          <w:color w:val="auto"/>
          <w:sz w:val="30"/>
          <w:szCs w:val="30"/>
        </w:rPr>
        <w:t>联系协调中石化安徽分公司第八党支部与江台村党总支开展党建共建。并在江台村范围内，推进中石化“微光行动”帮助留守儿童和乡村教师满足心愿。</w:t>
      </w:r>
    </w:p>
    <w:p>
      <w:pPr>
        <w:pStyle w:val="51"/>
        <w:numPr>
          <w:ilvl w:val="0"/>
          <w:numId w:val="1"/>
        </w:numPr>
        <w:ind w:firstLine="600" w:firstLineChars="200"/>
        <w:rPr>
          <w:rFonts w:hint="eastAsia" w:ascii="仿宋_GB2312" w:hAnsi="仿宋_GB2312" w:cs="仿宋_GB2312"/>
          <w:color w:val="auto"/>
          <w:sz w:val="30"/>
          <w:szCs w:val="30"/>
        </w:rPr>
      </w:pPr>
      <w:r>
        <w:rPr>
          <w:rFonts w:hint="eastAsia" w:ascii="仿宋_GB2312" w:hAnsi="仿宋_GB2312" w:cs="仿宋_GB2312"/>
          <w:color w:val="auto"/>
          <w:sz w:val="30"/>
          <w:szCs w:val="30"/>
        </w:rPr>
        <w:t>指导村两委按照“四议两公开”的村级民主决策流程，完成“一事一议”项目的上报，用于解决江台村主干道路灯亮化提升工程和唐台生产队部分路段排水问题。</w:t>
      </w:r>
    </w:p>
    <w:p>
      <w:pPr>
        <w:pStyle w:val="51"/>
        <w:numPr>
          <w:ilvl w:val="0"/>
          <w:numId w:val="1"/>
        </w:numPr>
        <w:ind w:firstLine="600" w:firstLineChars="200"/>
        <w:rPr>
          <w:rFonts w:hint="eastAsia" w:ascii="仿宋_GB2312" w:hAnsi="仿宋_GB2312" w:cs="仿宋_GB2312"/>
          <w:color w:val="auto"/>
          <w:sz w:val="30"/>
          <w:szCs w:val="30"/>
        </w:rPr>
      </w:pPr>
      <w:r>
        <w:rPr>
          <w:rFonts w:hint="eastAsia" w:ascii="仿宋_GB2312" w:hAnsi="仿宋_GB2312" w:cs="仿宋_GB2312"/>
          <w:color w:val="auto"/>
          <w:sz w:val="30"/>
          <w:szCs w:val="30"/>
        </w:rPr>
        <w:t>“七一”前夕，组织村两委干部和党员代表赴临泉参观魏野畴革命烈士纪念馆、接受红色教育，与临泉县土陂乡李楼村进行党建交流座谈。</w:t>
      </w:r>
    </w:p>
    <w:p>
      <w:pPr>
        <w:pStyle w:val="51"/>
        <w:numPr>
          <w:ilvl w:val="0"/>
          <w:numId w:val="1"/>
        </w:numPr>
        <w:ind w:firstLine="600" w:firstLineChars="200"/>
        <w:rPr>
          <w:rFonts w:hint="eastAsia" w:ascii="仿宋_GB2312" w:hAnsi="仿宋_GB2312" w:cs="仿宋_GB2312"/>
          <w:color w:val="auto"/>
          <w:sz w:val="30"/>
          <w:szCs w:val="30"/>
        </w:rPr>
      </w:pPr>
      <w:r>
        <w:rPr>
          <w:rFonts w:hint="eastAsia" w:ascii="仿宋_GB2312" w:hAnsi="仿宋_GB2312" w:cs="仿宋_GB2312"/>
          <w:color w:val="auto"/>
          <w:sz w:val="30"/>
          <w:szCs w:val="30"/>
        </w:rPr>
        <w:t>按照党建+信访的工作要求，主导化解小型地边纠纷3起，邻里矛盾纠纷7次，通过16次召开涉地群众会议，对涉及61户共计42亩的争议性土地进行了重新分配，造册登记，由此解决了市级挂牌督办的信访案件3起。</w:t>
      </w:r>
    </w:p>
    <w:p>
      <w:pPr>
        <w:pStyle w:val="51"/>
        <w:ind w:firstLine="600" w:firstLineChars="200"/>
        <w:rPr>
          <w:rFonts w:hint="eastAsia" w:ascii="仿宋_GB2312" w:hAnsi="仿宋_GB2312" w:cs="仿宋_GB2312"/>
          <w:color w:val="auto"/>
          <w:sz w:val="30"/>
          <w:szCs w:val="30"/>
        </w:rPr>
      </w:pPr>
      <w:r>
        <w:rPr>
          <w:rFonts w:hint="eastAsia" w:ascii="仿宋_GB2312" w:hAnsi="仿宋_GB2312" w:cs="仿宋_GB2312"/>
          <w:color w:val="auto"/>
          <w:sz w:val="30"/>
          <w:szCs w:val="30"/>
          <w:lang w:eastAsia="zh-CN"/>
        </w:rPr>
        <w:t>（</w:t>
      </w:r>
      <w:r>
        <w:rPr>
          <w:rFonts w:hint="eastAsia" w:ascii="仿宋_GB2312" w:hAnsi="仿宋_GB2312" w:cs="仿宋_GB2312"/>
          <w:color w:val="auto"/>
          <w:sz w:val="30"/>
          <w:szCs w:val="30"/>
          <w:lang w:val="en-US" w:eastAsia="zh-CN"/>
        </w:rPr>
        <w:t>6</w:t>
      </w:r>
      <w:r>
        <w:rPr>
          <w:rFonts w:hint="eastAsia" w:ascii="仿宋_GB2312" w:hAnsi="仿宋_GB2312" w:cs="仿宋_GB2312"/>
          <w:color w:val="auto"/>
          <w:sz w:val="30"/>
          <w:szCs w:val="30"/>
          <w:lang w:eastAsia="zh-CN"/>
        </w:rPr>
        <w:t>）</w:t>
      </w:r>
      <w:r>
        <w:rPr>
          <w:rFonts w:hint="eastAsia" w:ascii="仿宋_GB2312" w:hAnsi="仿宋_GB2312" w:cs="仿宋_GB2312"/>
          <w:color w:val="auto"/>
          <w:sz w:val="30"/>
          <w:szCs w:val="30"/>
        </w:rPr>
        <w:t>按照县委组织的要求，工作队全面参与了村级疫情防控工作。带领两委干部全程参与卡点值班、组织全员核酸、摸排返乡人员信息，落实在沪务工人员生活困难补贴46000元，组织工作队和包片干部，上门查看五保和留守老人生活情况帮助采购配送生活物资。</w:t>
      </w:r>
    </w:p>
    <w:p>
      <w:pPr>
        <w:ind w:firstLine="643" w:firstLineChars="20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4服务地方社区</w:t>
      </w:r>
    </w:p>
    <w:p>
      <w:pPr>
        <w:ind w:firstLine="640" w:firstLineChars="200"/>
        <w:rPr>
          <w:rFonts w:hint="eastAsia" w:ascii="仿宋" w:hAnsi="仿宋" w:eastAsia="仿宋" w:cs="仿宋"/>
          <w:sz w:val="32"/>
          <w:szCs w:val="32"/>
          <w:lang w:eastAsia="zh-CN"/>
        </w:rPr>
      </w:pPr>
      <w:r>
        <w:rPr>
          <w:rFonts w:hint="eastAsia" w:ascii="仿宋" w:hAnsi="仿宋" w:eastAsia="仿宋" w:cs="仿宋"/>
          <w:b w:val="0"/>
          <w:bCs w:val="0"/>
          <w:sz w:val="32"/>
          <w:szCs w:val="32"/>
          <w:lang w:val="en-US" w:eastAsia="zh-CN"/>
        </w:rPr>
        <w:t>（1）学校根据阜阳市精神文明建设指导委员会关于在全市广泛开展2022年“学雷锋志愿服务月”活动的通知，大力弘扬“奉献、友爱、互助、进步”的志愿服务精神，助力全市新时代文明实践和全国文明典范城市创建工作，以第59个“学雷锋志愿服务日”为契机，学校文明办和校团委于2022年3月份到社区儿童康复中心开展“关爱他人，扶贫帮困”志愿服务活动。</w:t>
      </w:r>
      <w:r>
        <w:rPr>
          <w:rFonts w:hint="eastAsia" w:ascii="仿宋" w:hAnsi="仿宋" w:eastAsia="仿宋" w:cs="仿宋"/>
          <w:sz w:val="32"/>
          <w:szCs w:val="32"/>
          <w:lang w:val="en-US" w:eastAsia="zh-CN"/>
        </w:rPr>
        <w:t>将传统志愿服务与雷锋精神相结合，使学雷锋活动真正成为践行社会主义核心价值观及加强青少年思想道德建设的有利抓手。</w:t>
      </w:r>
    </w:p>
    <w:p>
      <w:pPr>
        <w:ind w:firstLine="640" w:firstLineChars="200"/>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2022年7月，校党委书记、校长周波赴颍东区向阳办事处幸福东路社区开展文明创建对接社区包保工作。周波校长深入调研社区发展情况、文明创建工作开展及存在的困难。在充分调研基础上，学校梳理了文明创建工作短板，形成了文明创建工作方案，经常性组织党员干部辐赴社区开展创建宣传、志愿服务活动。</w:t>
      </w:r>
    </w:p>
    <w:p>
      <w:pPr>
        <w:ind w:firstLine="643" w:firstLineChars="20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五、政策落实质量</w:t>
      </w:r>
    </w:p>
    <w:p>
      <w:p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1政策落实</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校坚持以习近平新时代中国特色社会主义思想为指引，全面学习贯彻党的二十大工作精神，落实“职教二十条”、安徽省《关于推动现代职业教育高质量发展的实施意见》，深入贯彻市委、市政府工作要求，紧紧围绕“以人为本，关爱学生，培养学生，发展学生”的办学宗旨，不断优化专业布局、突出办学特色、提升办学质量。</w:t>
      </w:r>
    </w:p>
    <w:p>
      <w:pPr>
        <w:rPr>
          <w:rFonts w:hint="eastAsia" w:ascii="仿宋" w:hAnsi="仿宋" w:eastAsia="仿宋" w:cs="仿宋"/>
          <w:b/>
          <w:bCs/>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 xml:space="preserve"> 2学校治理</w:t>
      </w:r>
    </w:p>
    <w:p>
      <w:pPr>
        <w:pStyle w:val="5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1</w:t>
      </w:r>
      <w:r>
        <w:rPr>
          <w:rFonts w:hint="eastAsia" w:ascii="仿宋" w:hAnsi="仿宋" w:eastAsia="仿宋" w:cs="仿宋"/>
          <w:bCs/>
          <w:sz w:val="32"/>
          <w:szCs w:val="32"/>
          <w:lang w:eastAsia="zh-CN"/>
        </w:rPr>
        <w:t>）</w:t>
      </w:r>
      <w:r>
        <w:rPr>
          <w:rFonts w:hint="eastAsia" w:ascii="仿宋" w:hAnsi="仿宋" w:eastAsia="仿宋" w:cs="仿宋"/>
          <w:bCs/>
          <w:sz w:val="32"/>
          <w:szCs w:val="32"/>
        </w:rPr>
        <w:t>学校拥有一支思想政治素质高，办学思想先进，掌握职业教育规律，实践经验丰富，管理能力强的领导班子。校领导班子成员长期致力于职业教育，认真学习职教政策、文献，锐意进取，不断探索，积极推动学校教育教学改革和创新，学校在集团化办学、校企合作办学、教育教学改革等方面取得了一定的成绩，学校的社会认可度日益提升。</w:t>
      </w:r>
    </w:p>
    <w:p>
      <w:pPr>
        <w:pStyle w:val="5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lang w:eastAsia="zh-CN"/>
        </w:rPr>
        <w:t>（</w:t>
      </w:r>
      <w:r>
        <w:rPr>
          <w:rFonts w:hint="eastAsia" w:ascii="仿宋" w:hAnsi="仿宋" w:eastAsia="仿宋" w:cs="仿宋"/>
          <w:bCs/>
          <w:sz w:val="32"/>
          <w:szCs w:val="32"/>
        </w:rPr>
        <w:t>2</w:t>
      </w:r>
      <w:r>
        <w:rPr>
          <w:rFonts w:hint="eastAsia" w:ascii="仿宋" w:hAnsi="仿宋" w:eastAsia="仿宋" w:cs="仿宋"/>
          <w:bCs/>
          <w:sz w:val="32"/>
          <w:szCs w:val="32"/>
          <w:lang w:eastAsia="zh-CN"/>
        </w:rPr>
        <w:t>）</w:t>
      </w:r>
      <w:r>
        <w:rPr>
          <w:rFonts w:hint="eastAsia" w:ascii="仿宋" w:hAnsi="仿宋" w:eastAsia="仿宋" w:cs="仿宋"/>
          <w:bCs/>
          <w:sz w:val="32"/>
          <w:szCs w:val="32"/>
        </w:rPr>
        <w:t>学校党委不断加强基层组织建设，充分发挥党组织的领导核心和战斗堡垒作用，坚持以党建引领，推动学校各项工作发展；工作中认真落实党委主体责任和纪委监督责任，做到重大问题、重大决策集体研究；积极开展党风廉政建设，加强师德师风教育工作，制定和完善了学校各部门的职权目，为学校的发展提供政治保障。</w:t>
      </w:r>
    </w:p>
    <w:p>
      <w:pPr>
        <w:pStyle w:val="5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3</w:t>
      </w:r>
      <w:r>
        <w:rPr>
          <w:rFonts w:hint="eastAsia" w:ascii="仿宋" w:hAnsi="仿宋" w:eastAsia="仿宋" w:cs="仿宋"/>
          <w:bCs/>
          <w:sz w:val="32"/>
          <w:szCs w:val="32"/>
          <w:lang w:eastAsia="zh-CN"/>
        </w:rPr>
        <w:t>）</w:t>
      </w:r>
      <w:r>
        <w:rPr>
          <w:rFonts w:hint="eastAsia" w:ascii="仿宋" w:hAnsi="仿宋" w:eastAsia="仿宋" w:cs="仿宋"/>
          <w:bCs/>
          <w:sz w:val="32"/>
          <w:szCs w:val="32"/>
        </w:rPr>
        <w:t>内部管理机构健全，岗位职责明确，做到“有人就有岗、有岗就有责”，建有各项工作规范、流程和奖惩机制。学校印发了《岗位职责、责任清单、工作流程汇编》，在制度目录中率先设置廉政风险点、风险表现、风险等级，明确相对应管理制度。</w:t>
      </w:r>
    </w:p>
    <w:p>
      <w:pPr>
        <w:pStyle w:val="50"/>
        <w:spacing w:line="460" w:lineRule="atLeast"/>
        <w:ind w:firstLine="640" w:firstLineChars="20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学校狠抓内涵建设，改善校园教学环境，不断提升办学质量，教学稳步提升，</w:t>
      </w:r>
      <w:r>
        <w:rPr>
          <w:rFonts w:hint="eastAsia" w:ascii="仿宋" w:hAnsi="仿宋" w:eastAsia="仿宋" w:cs="仿宋"/>
          <w:kern w:val="0"/>
          <w:sz w:val="32"/>
          <w:szCs w:val="32"/>
          <w:lang w:val="en-US" w:eastAsia="zh-CN"/>
        </w:rPr>
        <w:t>教师、</w:t>
      </w:r>
      <w:r>
        <w:rPr>
          <w:rFonts w:hint="eastAsia" w:ascii="仿宋" w:hAnsi="仿宋" w:eastAsia="仿宋" w:cs="仿宋"/>
          <w:kern w:val="0"/>
          <w:sz w:val="32"/>
          <w:szCs w:val="32"/>
        </w:rPr>
        <w:t>学生在各级比赛中获奖数量、质量不断提升。</w:t>
      </w:r>
      <w:r>
        <w:rPr>
          <w:rFonts w:hint="eastAsia" w:ascii="仿宋" w:hAnsi="仿宋" w:eastAsia="仿宋" w:cs="仿宋"/>
          <w:kern w:val="0"/>
          <w:sz w:val="32"/>
          <w:szCs w:val="32"/>
          <w:lang w:val="en-US" w:eastAsia="zh-CN"/>
        </w:rPr>
        <w:t>2022年在技能竞赛、教学成果奖评选、教科研等方面成绩居阜阳前列。</w:t>
      </w:r>
    </w:p>
    <w:p>
      <w:pPr>
        <w:pStyle w:val="50"/>
        <w:spacing w:line="460" w:lineRule="atLeast"/>
        <w:ind w:firstLine="643" w:firstLineChars="200"/>
        <w:jc w:val="left"/>
        <w:rPr>
          <w:rFonts w:hint="default" w:ascii="仿宋" w:hAnsi="仿宋" w:eastAsia="仿宋" w:cs="仿宋"/>
          <w:b/>
          <w:bCs/>
          <w:kern w:val="0"/>
          <w:sz w:val="32"/>
          <w:szCs w:val="32"/>
          <w:lang w:val="en-US" w:eastAsia="zh-CN"/>
        </w:rPr>
      </w:pPr>
      <w:r>
        <w:rPr>
          <w:rFonts w:hint="eastAsia" w:ascii="仿宋" w:hAnsi="仿宋" w:eastAsia="仿宋" w:cs="仿宋"/>
          <w:b/>
          <w:bCs/>
          <w:kern w:val="0"/>
          <w:sz w:val="32"/>
          <w:szCs w:val="32"/>
          <w:lang w:val="en-US" w:eastAsia="zh-CN"/>
        </w:rPr>
        <w:t>3后勤保障</w:t>
      </w:r>
    </w:p>
    <w:p>
      <w:pPr>
        <w:pStyle w:val="50"/>
        <w:spacing w:line="360" w:lineRule="auto"/>
        <w:ind w:firstLine="640" w:firstLineChars="200"/>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1</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学校根据各级文件要求并结合我校实际情况制定了后勤保障等相关制度、办法及规范等，并将各种规章制度张贴上墙，以规范的制度指导后勤各方面工作，做到流程规范、方向方法无错误</w:t>
      </w:r>
      <w:r>
        <w:rPr>
          <w:rFonts w:hint="eastAsia" w:ascii="仿宋" w:hAnsi="仿宋" w:eastAsia="仿宋" w:cs="仿宋"/>
          <w:b w:val="0"/>
          <w:bCs/>
          <w:sz w:val="32"/>
          <w:szCs w:val="32"/>
          <w:lang w:eastAsia="zh-CN"/>
        </w:rPr>
        <w:t>。</w:t>
      </w:r>
    </w:p>
    <w:p>
      <w:pPr>
        <w:pStyle w:val="50"/>
        <w:spacing w:line="360" w:lineRule="auto"/>
        <w:ind w:firstLine="640" w:firstLineChars="200"/>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2</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智能操作，提高效率：学校升级改造了校园一卡通系统、车辆管理、数字化校园管理平台，专门搭建了依托我校微信公众号为接口的后勤保障报修智能平台，实现了从报修到完成的高效、专一通道，实现后勤无纸化办公，信息实时可查，提高了后勤管理效率</w:t>
      </w:r>
      <w:r>
        <w:rPr>
          <w:rFonts w:hint="eastAsia" w:ascii="仿宋" w:hAnsi="仿宋" w:eastAsia="仿宋" w:cs="仿宋"/>
          <w:b w:val="0"/>
          <w:bCs/>
          <w:sz w:val="32"/>
          <w:szCs w:val="32"/>
          <w:lang w:eastAsia="zh-CN"/>
        </w:rPr>
        <w:t>。</w:t>
      </w:r>
    </w:p>
    <w:p>
      <w:pPr>
        <w:pStyle w:val="50"/>
        <w:spacing w:line="360" w:lineRule="auto"/>
        <w:ind w:firstLine="640" w:firstLineChars="200"/>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3</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加强巡查，首问责任：后勤管理实行楼长制，教育教学实训的楼宇对应到个人，随时关注全校园覆盖的监控之外，制度化定期检查食堂、浴室、超市等场所巡查，推广首问责任制，发现问题及时解决、及时上报、及时反馈</w:t>
      </w:r>
      <w:r>
        <w:rPr>
          <w:rFonts w:hint="eastAsia" w:ascii="仿宋" w:hAnsi="仿宋" w:eastAsia="仿宋" w:cs="仿宋"/>
          <w:b w:val="0"/>
          <w:bCs/>
          <w:sz w:val="32"/>
          <w:szCs w:val="32"/>
          <w:lang w:eastAsia="zh-CN"/>
        </w:rPr>
        <w:t>。</w:t>
      </w:r>
    </w:p>
    <w:p>
      <w:pPr>
        <w:pStyle w:val="50"/>
        <w:spacing w:line="360" w:lineRule="auto"/>
        <w:ind w:firstLine="640" w:firstLineChars="200"/>
        <w:rPr>
          <w:rFonts w:hint="eastAsia" w:eastAsia="仿宋"/>
          <w:b w:val="0"/>
          <w:bCs/>
          <w:sz w:val="32"/>
          <w:szCs w:val="32"/>
          <w:lang w:val="en-US" w:eastAsia="zh-CN"/>
        </w:rPr>
      </w:pP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4</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全面覆盖，服务第一：做好全校师生在校期间的衣、食、住、行等全方位的保障工作，以安全第一，便捷为主，全体后勤人员都以校为家，全员参与育人工作，处处为师生考虑，以师生在校安心舒心为工作方向</w:t>
      </w:r>
      <w:r>
        <w:rPr>
          <w:rFonts w:hint="eastAsia" w:ascii="仿宋" w:hAnsi="仿宋" w:eastAsia="仿宋" w:cs="仿宋"/>
          <w:b w:val="0"/>
          <w:bCs/>
          <w:sz w:val="32"/>
          <w:szCs w:val="32"/>
          <w:lang w:eastAsia="zh-CN"/>
        </w:rPr>
        <w:t>。</w:t>
      </w:r>
    </w:p>
    <w:p>
      <w:pPr>
        <w:ind w:firstLine="643" w:firstLineChars="200"/>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4经费投入</w:t>
      </w:r>
    </w:p>
    <w:p>
      <w:pPr>
        <w:ind w:firstLine="640" w:firstLineChars="200"/>
        <w:rPr>
          <w:rFonts w:hint="eastAsia" w:ascii="仿宋" w:hAnsi="仿宋" w:eastAsia="仿宋" w:cs="仿宋"/>
          <w:b w:val="0"/>
          <w:bCs/>
          <w:sz w:val="32"/>
          <w:szCs w:val="32"/>
          <w:lang w:val="en-US" w:eastAsia="zh-CN" w:bidi="ar-SA"/>
        </w:rPr>
      </w:pPr>
      <w:r>
        <w:rPr>
          <w:rFonts w:hint="eastAsia" w:ascii="仿宋" w:hAnsi="仿宋" w:eastAsia="仿宋" w:cs="仿宋"/>
          <w:b w:val="0"/>
          <w:bCs/>
          <w:sz w:val="32"/>
          <w:szCs w:val="32"/>
          <w:lang w:val="en-US" w:eastAsia="zh-CN" w:bidi="ar-SA"/>
        </w:rPr>
        <w:t>2022年收入总结18843.99万元,其中财政拨款6285.03万元，事业收入185.61万元，政府性基金预算收入8814.96万元，政府债券收入3000万元，上年结转558.39万元。</w:t>
      </w:r>
    </w:p>
    <w:p>
      <w:pPr>
        <w:ind w:firstLine="643" w:firstLineChars="20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六、面临挑战与建设措施</w:t>
      </w:r>
    </w:p>
    <w:p>
      <w:pPr>
        <w:keepNext w:val="0"/>
        <w:keepLines w:val="0"/>
        <w:pageBreakBefore w:val="0"/>
        <w:kinsoku/>
        <w:wordWrap/>
        <w:overflowPunct/>
        <w:topLinePunct w:val="0"/>
        <w:bidi w:val="0"/>
        <w:spacing w:line="360" w:lineRule="auto"/>
        <w:ind w:right="0" w:firstLine="480"/>
        <w:textAlignment w:val="auto"/>
        <w:rPr>
          <w:rFonts w:hint="eastAsia" w:ascii="仿宋" w:hAnsi="仿宋" w:eastAsia="仿宋" w:cs="仿宋"/>
          <w:b/>
          <w:spacing w:val="-6"/>
          <w:sz w:val="32"/>
          <w:szCs w:val="32"/>
          <w:lang w:eastAsia="zh-CN"/>
        </w:rPr>
      </w:pPr>
      <w:r>
        <w:rPr>
          <w:rFonts w:hint="eastAsia" w:ascii="仿宋" w:hAnsi="仿宋" w:eastAsia="仿宋" w:cs="仿宋"/>
          <w:b/>
          <w:spacing w:val="-6"/>
          <w:sz w:val="32"/>
          <w:szCs w:val="32"/>
          <w:lang w:eastAsia="zh-CN"/>
        </w:rPr>
        <w:t>（</w:t>
      </w:r>
      <w:r>
        <w:rPr>
          <w:rFonts w:hint="eastAsia" w:ascii="仿宋" w:hAnsi="仿宋" w:eastAsia="仿宋" w:cs="仿宋"/>
          <w:b/>
          <w:spacing w:val="-6"/>
          <w:sz w:val="32"/>
          <w:szCs w:val="32"/>
          <w:lang w:val="en-US" w:eastAsia="zh-CN"/>
        </w:rPr>
        <w:t>一）面临挑战</w:t>
      </w:r>
    </w:p>
    <w:p>
      <w:pPr>
        <w:keepNext w:val="0"/>
        <w:keepLines w:val="0"/>
        <w:pageBreakBefore w:val="0"/>
        <w:kinsoku/>
        <w:wordWrap/>
        <w:overflowPunct/>
        <w:topLinePunct w:val="0"/>
        <w:bidi w:val="0"/>
        <w:spacing w:line="360" w:lineRule="auto"/>
        <w:ind w:right="0" w:firstLine="619" w:firstLineChars="200"/>
        <w:textAlignment w:val="auto"/>
        <w:rPr>
          <w:rFonts w:ascii="仿宋" w:hAnsi="仿宋" w:eastAsia="仿宋" w:cs="仿宋"/>
          <w:b/>
          <w:spacing w:val="-6"/>
          <w:sz w:val="32"/>
          <w:szCs w:val="32"/>
        </w:rPr>
      </w:pPr>
      <w:r>
        <w:rPr>
          <w:rFonts w:hint="eastAsia" w:ascii="仿宋" w:hAnsi="仿宋" w:eastAsia="仿宋" w:cs="仿宋"/>
          <w:b/>
          <w:spacing w:val="-6"/>
          <w:sz w:val="32"/>
          <w:szCs w:val="32"/>
        </w:rPr>
        <w:t>1.办学条件有待进一步改善</w:t>
      </w:r>
    </w:p>
    <w:p>
      <w:pPr>
        <w:keepNext w:val="0"/>
        <w:keepLines w:val="0"/>
        <w:pageBreakBefore w:val="0"/>
        <w:kinsoku/>
        <w:wordWrap/>
        <w:overflowPunct/>
        <w:topLinePunct w:val="0"/>
        <w:bidi w:val="0"/>
        <w:spacing w:line="360" w:lineRule="auto"/>
        <w:ind w:right="0" w:firstLine="616" w:firstLineChars="200"/>
        <w:textAlignment w:val="auto"/>
        <w:rPr>
          <w:rFonts w:ascii="仿宋" w:hAnsi="仿宋" w:eastAsia="仿宋" w:cs="仿宋"/>
          <w:b/>
          <w:spacing w:val="-6"/>
          <w:sz w:val="32"/>
          <w:szCs w:val="32"/>
        </w:rPr>
      </w:pPr>
      <w:r>
        <w:rPr>
          <w:rFonts w:hint="eastAsia" w:ascii="仿宋" w:hAnsi="仿宋" w:eastAsia="仿宋" w:cs="仿宋"/>
          <w:spacing w:val="-6"/>
          <w:sz w:val="32"/>
          <w:szCs w:val="32"/>
        </w:rPr>
        <w:t>学校现有3个校区且距离较远，不利于学校工作统筹和协调和集中统一管理，新校区的建设使用需加快推进。</w:t>
      </w:r>
    </w:p>
    <w:p>
      <w:pPr>
        <w:keepNext w:val="0"/>
        <w:keepLines w:val="0"/>
        <w:pageBreakBefore w:val="0"/>
        <w:kinsoku/>
        <w:wordWrap/>
        <w:overflowPunct/>
        <w:topLinePunct w:val="0"/>
        <w:bidi w:val="0"/>
        <w:spacing w:line="360" w:lineRule="auto"/>
        <w:ind w:right="0" w:firstLine="619" w:firstLineChars="200"/>
        <w:textAlignment w:val="auto"/>
        <w:rPr>
          <w:rFonts w:ascii="仿宋" w:hAnsi="仿宋" w:eastAsia="仿宋" w:cs="仿宋"/>
          <w:b/>
          <w:spacing w:val="-6"/>
          <w:sz w:val="32"/>
          <w:szCs w:val="32"/>
        </w:rPr>
      </w:pPr>
      <w:r>
        <w:rPr>
          <w:rFonts w:hint="eastAsia" w:ascii="仿宋" w:hAnsi="仿宋" w:eastAsia="仿宋" w:cs="仿宋"/>
          <w:b/>
          <w:spacing w:val="-6"/>
          <w:sz w:val="32"/>
          <w:szCs w:val="32"/>
        </w:rPr>
        <w:t>2.产教融合有待进一步深化</w:t>
      </w:r>
    </w:p>
    <w:p>
      <w:pPr>
        <w:keepNext w:val="0"/>
        <w:keepLines w:val="0"/>
        <w:pageBreakBefore w:val="0"/>
        <w:kinsoku/>
        <w:wordWrap/>
        <w:overflowPunct/>
        <w:topLinePunct w:val="0"/>
        <w:bidi w:val="0"/>
        <w:spacing w:line="360" w:lineRule="auto"/>
        <w:ind w:right="0" w:firstLine="616" w:firstLineChars="200"/>
        <w:textAlignment w:val="auto"/>
        <w:rPr>
          <w:rFonts w:ascii="仿宋" w:hAnsi="仿宋" w:eastAsia="仿宋" w:cs="仿宋"/>
          <w:spacing w:val="-6"/>
          <w:sz w:val="32"/>
          <w:szCs w:val="32"/>
        </w:rPr>
      </w:pPr>
      <w:r>
        <w:rPr>
          <w:rFonts w:hint="eastAsia" w:ascii="仿宋" w:hAnsi="仿宋" w:eastAsia="仿宋" w:cs="仿宋"/>
          <w:spacing w:val="-6"/>
          <w:sz w:val="32"/>
          <w:szCs w:val="32"/>
        </w:rPr>
        <w:t>各专业产教融合、校企合作的深度、广度和效果，还不能很好助推地方经济发展，一些专业还存在产教合而不融、校企合作合而不深等现象。</w:t>
      </w:r>
    </w:p>
    <w:p>
      <w:pPr>
        <w:keepNext w:val="0"/>
        <w:keepLines w:val="0"/>
        <w:pageBreakBefore w:val="0"/>
        <w:kinsoku/>
        <w:wordWrap/>
        <w:overflowPunct/>
        <w:topLinePunct w:val="0"/>
        <w:bidi w:val="0"/>
        <w:spacing w:line="360" w:lineRule="auto"/>
        <w:ind w:right="0" w:firstLine="619" w:firstLineChars="200"/>
        <w:textAlignment w:val="auto"/>
        <w:rPr>
          <w:rFonts w:ascii="仿宋" w:hAnsi="仿宋" w:eastAsia="仿宋" w:cs="仿宋"/>
          <w:b/>
          <w:spacing w:val="-6"/>
          <w:sz w:val="32"/>
          <w:szCs w:val="32"/>
        </w:rPr>
      </w:pPr>
      <w:r>
        <w:rPr>
          <w:rFonts w:hint="eastAsia" w:ascii="仿宋" w:hAnsi="仿宋" w:eastAsia="仿宋" w:cs="仿宋"/>
          <w:b/>
          <w:spacing w:val="-6"/>
          <w:sz w:val="32"/>
          <w:szCs w:val="32"/>
        </w:rPr>
        <w:t>3.师资水平有待进一步提高</w:t>
      </w:r>
    </w:p>
    <w:p>
      <w:pPr>
        <w:keepNext w:val="0"/>
        <w:keepLines w:val="0"/>
        <w:pageBreakBefore w:val="0"/>
        <w:kinsoku/>
        <w:wordWrap/>
        <w:overflowPunct/>
        <w:topLinePunct w:val="0"/>
        <w:bidi w:val="0"/>
        <w:spacing w:line="360" w:lineRule="auto"/>
        <w:ind w:right="0" w:firstLine="616" w:firstLineChars="200"/>
        <w:textAlignment w:val="auto"/>
        <w:rPr>
          <w:rFonts w:ascii="仿宋" w:hAnsi="仿宋" w:eastAsia="仿宋" w:cs="仿宋"/>
          <w:spacing w:val="-6"/>
          <w:sz w:val="32"/>
          <w:szCs w:val="32"/>
        </w:rPr>
      </w:pPr>
      <w:r>
        <w:rPr>
          <w:rFonts w:hint="eastAsia" w:ascii="仿宋" w:hAnsi="仿宋" w:eastAsia="仿宋" w:cs="仿宋"/>
          <w:spacing w:val="-6"/>
          <w:sz w:val="32"/>
          <w:szCs w:val="32"/>
        </w:rPr>
        <w:t>学校现有教师整体素养和能力还不能完全满足新时代中职教育高质量发展的要求，缺少高层次高水平且具有全国影响力的大师名师。</w:t>
      </w:r>
    </w:p>
    <w:p>
      <w:pPr>
        <w:keepNext w:val="0"/>
        <w:keepLines w:val="0"/>
        <w:pageBreakBefore w:val="0"/>
        <w:kinsoku/>
        <w:wordWrap/>
        <w:overflowPunct/>
        <w:topLinePunct w:val="0"/>
        <w:bidi w:val="0"/>
        <w:spacing w:line="360" w:lineRule="auto"/>
        <w:ind w:right="0" w:firstLine="480"/>
        <w:textAlignment w:val="auto"/>
        <w:rPr>
          <w:rFonts w:hint="default" w:ascii="仿宋" w:hAnsi="仿宋" w:eastAsia="仿宋" w:cs="仿宋"/>
          <w:b/>
          <w:spacing w:val="-6"/>
          <w:sz w:val="32"/>
          <w:szCs w:val="32"/>
          <w:lang w:val="en-US" w:eastAsia="zh-CN"/>
        </w:rPr>
      </w:pPr>
      <w:r>
        <w:rPr>
          <w:rFonts w:hint="eastAsia" w:ascii="仿宋" w:hAnsi="仿宋" w:eastAsia="仿宋" w:cs="仿宋"/>
          <w:b/>
          <w:spacing w:val="-6"/>
          <w:sz w:val="32"/>
          <w:szCs w:val="32"/>
        </w:rPr>
        <w:t>（二）</w:t>
      </w:r>
      <w:r>
        <w:rPr>
          <w:rFonts w:hint="eastAsia" w:ascii="仿宋" w:hAnsi="仿宋" w:eastAsia="仿宋" w:cs="仿宋"/>
          <w:b/>
          <w:spacing w:val="-6"/>
          <w:sz w:val="32"/>
          <w:szCs w:val="32"/>
          <w:lang w:val="en-US" w:eastAsia="zh-CN"/>
        </w:rPr>
        <w:t>建设措施</w:t>
      </w:r>
    </w:p>
    <w:p>
      <w:pPr>
        <w:keepNext w:val="0"/>
        <w:keepLines w:val="0"/>
        <w:pageBreakBefore w:val="0"/>
        <w:kinsoku/>
        <w:wordWrap/>
        <w:overflowPunct/>
        <w:topLinePunct w:val="0"/>
        <w:bidi w:val="0"/>
        <w:spacing w:line="360" w:lineRule="auto"/>
        <w:ind w:right="0" w:firstLine="619" w:firstLineChars="200"/>
        <w:textAlignment w:val="auto"/>
        <w:rPr>
          <w:rFonts w:ascii="仿宋" w:hAnsi="仿宋" w:eastAsia="仿宋" w:cs="仿宋"/>
          <w:b/>
          <w:spacing w:val="-6"/>
          <w:sz w:val="32"/>
          <w:szCs w:val="32"/>
        </w:rPr>
      </w:pPr>
      <w:r>
        <w:rPr>
          <w:rFonts w:hint="eastAsia" w:ascii="仿宋" w:hAnsi="仿宋" w:eastAsia="仿宋" w:cs="仿宋"/>
          <w:b/>
          <w:spacing w:val="-6"/>
          <w:sz w:val="32"/>
          <w:szCs w:val="32"/>
        </w:rPr>
        <w:t>1.加快新校区建设，提升办学条件</w:t>
      </w:r>
    </w:p>
    <w:p>
      <w:pPr>
        <w:keepNext w:val="0"/>
        <w:keepLines w:val="0"/>
        <w:pageBreakBefore w:val="0"/>
        <w:kinsoku/>
        <w:wordWrap/>
        <w:overflowPunct/>
        <w:topLinePunct w:val="0"/>
        <w:bidi w:val="0"/>
        <w:spacing w:line="360" w:lineRule="auto"/>
        <w:ind w:right="0" w:firstLine="616" w:firstLineChars="200"/>
        <w:textAlignment w:val="auto"/>
        <w:rPr>
          <w:rFonts w:ascii="仿宋" w:hAnsi="仿宋" w:eastAsia="仿宋" w:cs="仿宋"/>
          <w:spacing w:val="-6"/>
          <w:sz w:val="32"/>
          <w:szCs w:val="32"/>
        </w:rPr>
      </w:pPr>
      <w:r>
        <w:rPr>
          <w:rFonts w:hint="eastAsia" w:ascii="仿宋" w:hAnsi="仿宋" w:eastAsia="仿宋" w:cs="仿宋"/>
          <w:spacing w:val="-6"/>
          <w:sz w:val="32"/>
          <w:szCs w:val="32"/>
        </w:rPr>
        <w:t>加快推进新校区建设，加强学校实训基地设施建设，较大幅度更新教学仪器设备。加快智慧校园建设，促进现代信息技术与教育教学有机整合，全面提升学校办学基础保障能力。</w:t>
      </w:r>
    </w:p>
    <w:p>
      <w:pPr>
        <w:keepNext w:val="0"/>
        <w:keepLines w:val="0"/>
        <w:pageBreakBefore w:val="0"/>
        <w:kinsoku/>
        <w:wordWrap/>
        <w:overflowPunct/>
        <w:topLinePunct w:val="0"/>
        <w:bidi w:val="0"/>
        <w:spacing w:line="360" w:lineRule="auto"/>
        <w:ind w:right="0" w:firstLine="619" w:firstLineChars="200"/>
        <w:textAlignment w:val="auto"/>
        <w:rPr>
          <w:rFonts w:ascii="仿宋" w:hAnsi="仿宋" w:eastAsia="仿宋" w:cs="仿宋"/>
          <w:b/>
          <w:spacing w:val="-6"/>
          <w:sz w:val="32"/>
          <w:szCs w:val="32"/>
        </w:rPr>
      </w:pPr>
      <w:r>
        <w:rPr>
          <w:rFonts w:hint="eastAsia" w:ascii="仿宋" w:hAnsi="仿宋" w:eastAsia="仿宋" w:cs="仿宋"/>
          <w:b/>
          <w:spacing w:val="-6"/>
          <w:sz w:val="32"/>
          <w:szCs w:val="32"/>
        </w:rPr>
        <w:t>2.深化产教融合，提升校企合作水平</w:t>
      </w:r>
    </w:p>
    <w:p>
      <w:pPr>
        <w:keepNext w:val="0"/>
        <w:keepLines w:val="0"/>
        <w:pageBreakBefore w:val="0"/>
        <w:kinsoku/>
        <w:wordWrap/>
        <w:overflowPunct/>
        <w:topLinePunct w:val="0"/>
        <w:bidi w:val="0"/>
        <w:spacing w:line="360" w:lineRule="auto"/>
        <w:ind w:right="0" w:firstLine="616" w:firstLineChars="200"/>
        <w:textAlignment w:val="auto"/>
        <w:rPr>
          <w:rFonts w:ascii="仿宋" w:hAnsi="仿宋" w:eastAsia="仿宋" w:cs="仿宋"/>
          <w:spacing w:val="-6"/>
          <w:sz w:val="32"/>
          <w:szCs w:val="32"/>
        </w:rPr>
      </w:pPr>
      <w:r>
        <w:rPr>
          <w:rFonts w:hint="eastAsia" w:ascii="仿宋" w:hAnsi="仿宋" w:eastAsia="仿宋" w:cs="仿宋"/>
          <w:spacing w:val="-6"/>
          <w:sz w:val="32"/>
          <w:szCs w:val="32"/>
        </w:rPr>
        <w:t>加速与行业内区域内龙头企业、骨干企业和工业园区深度融合，重点推进集团化办学，加快产业企业技术标准、资源要素、企业文化等融入专业建设和人才培养过程，建设校企合作共赢的利益共同体。</w:t>
      </w:r>
    </w:p>
    <w:p>
      <w:pPr>
        <w:keepNext w:val="0"/>
        <w:keepLines w:val="0"/>
        <w:pageBreakBefore w:val="0"/>
        <w:kinsoku/>
        <w:wordWrap/>
        <w:overflowPunct/>
        <w:topLinePunct w:val="0"/>
        <w:bidi w:val="0"/>
        <w:spacing w:line="360" w:lineRule="auto"/>
        <w:ind w:right="0" w:firstLine="619" w:firstLineChars="200"/>
        <w:textAlignment w:val="auto"/>
        <w:rPr>
          <w:rFonts w:ascii="仿宋" w:hAnsi="仿宋" w:eastAsia="仿宋" w:cs="仿宋"/>
          <w:b/>
          <w:spacing w:val="-6"/>
          <w:sz w:val="32"/>
          <w:szCs w:val="32"/>
        </w:rPr>
      </w:pPr>
      <w:r>
        <w:rPr>
          <w:rFonts w:hint="eastAsia" w:ascii="仿宋" w:hAnsi="仿宋" w:eastAsia="仿宋" w:cs="仿宋"/>
          <w:b/>
          <w:spacing w:val="-6"/>
          <w:sz w:val="32"/>
          <w:szCs w:val="32"/>
        </w:rPr>
        <w:t>3.强化内部治理，提升育人水平</w:t>
      </w:r>
    </w:p>
    <w:p>
      <w:pPr>
        <w:spacing w:line="360" w:lineRule="auto"/>
        <w:ind w:firstLine="616" w:firstLineChars="200"/>
        <w:rPr>
          <w:rFonts w:hint="eastAsia" w:ascii="仿宋" w:hAnsi="仿宋" w:eastAsia="仿宋" w:cs="仿宋"/>
          <w:spacing w:val="-6"/>
          <w:sz w:val="32"/>
          <w:szCs w:val="32"/>
        </w:rPr>
      </w:pPr>
      <w:r>
        <w:rPr>
          <w:rFonts w:hint="eastAsia" w:ascii="仿宋" w:hAnsi="仿宋" w:eastAsia="仿宋" w:cs="仿宋"/>
          <w:spacing w:val="-6"/>
          <w:sz w:val="32"/>
          <w:szCs w:val="32"/>
        </w:rPr>
        <w:t>以建设高水平“双师型”师资队伍为目标，加强对青年教师培养，实施青蓝对接制度、企业锻炼制度、教学能力竞赛制度、信息教学能力达标等制度，全面提升教师教学能力、专业实践能力，实现教师队伍结构优化和能力整体提升。</w:t>
      </w:r>
    </w:p>
    <w:p>
      <w:pPr>
        <w:pStyle w:val="2"/>
        <w:rPr>
          <w:rFonts w:hint="eastAsia" w:ascii="仿宋" w:hAnsi="仿宋" w:eastAsia="仿宋" w:cs="仿宋"/>
          <w:spacing w:val="-6"/>
          <w:sz w:val="32"/>
          <w:szCs w:val="32"/>
        </w:rPr>
      </w:pPr>
    </w:p>
    <w:p>
      <w:pPr>
        <w:rPr>
          <w:rFonts w:hint="eastAsia" w:ascii="仿宋" w:hAnsi="仿宋" w:eastAsia="仿宋" w:cs="仿宋"/>
          <w:spacing w:val="-6"/>
          <w:sz w:val="32"/>
          <w:szCs w:val="32"/>
        </w:rPr>
      </w:pPr>
    </w:p>
    <w:p>
      <w:pPr>
        <w:pStyle w:val="2"/>
        <w:rPr>
          <w:rFonts w:hint="eastAsia" w:ascii="仿宋" w:hAnsi="仿宋" w:eastAsia="仿宋" w:cs="仿宋"/>
          <w:spacing w:val="-6"/>
          <w:sz w:val="32"/>
          <w:szCs w:val="32"/>
        </w:rPr>
      </w:pPr>
    </w:p>
    <w:p>
      <w:pPr>
        <w:rPr>
          <w:rFonts w:hint="eastAsia" w:ascii="仿宋" w:hAnsi="仿宋" w:eastAsia="仿宋" w:cs="仿宋"/>
          <w:spacing w:val="-6"/>
          <w:sz w:val="32"/>
          <w:szCs w:val="32"/>
        </w:rPr>
      </w:pPr>
    </w:p>
    <w:p>
      <w:pPr>
        <w:pStyle w:val="2"/>
        <w:rPr>
          <w:rFonts w:hint="eastAsia" w:ascii="仿宋" w:hAnsi="仿宋" w:eastAsia="仿宋" w:cs="仿宋"/>
          <w:spacing w:val="-6"/>
          <w:sz w:val="32"/>
          <w:szCs w:val="32"/>
        </w:rPr>
      </w:pPr>
    </w:p>
    <w:p>
      <w:pPr>
        <w:rPr>
          <w:rFonts w:hint="eastAsia" w:ascii="仿宋" w:hAnsi="仿宋" w:eastAsia="仿宋" w:cs="仿宋"/>
          <w:spacing w:val="-6"/>
          <w:sz w:val="32"/>
          <w:szCs w:val="32"/>
        </w:rPr>
      </w:pPr>
    </w:p>
    <w:p>
      <w:pPr>
        <w:pStyle w:val="2"/>
        <w:rPr>
          <w:rFonts w:hint="eastAsia" w:ascii="仿宋" w:hAnsi="仿宋" w:eastAsia="仿宋" w:cs="仿宋"/>
          <w:spacing w:val="-6"/>
          <w:sz w:val="32"/>
          <w:szCs w:val="32"/>
        </w:rPr>
      </w:pPr>
    </w:p>
    <w:p>
      <w:pPr>
        <w:rPr>
          <w:rFonts w:hint="eastAsia" w:ascii="仿宋" w:hAnsi="仿宋" w:eastAsia="仿宋" w:cs="仿宋"/>
          <w:spacing w:val="-6"/>
          <w:sz w:val="32"/>
          <w:szCs w:val="32"/>
        </w:rPr>
      </w:pPr>
    </w:p>
    <w:p>
      <w:pPr>
        <w:rPr>
          <w:rFonts w:hint="eastAsia" w:ascii="仿宋" w:hAnsi="仿宋" w:eastAsia="仿宋" w:cs="仿宋"/>
          <w:b/>
          <w:bCs/>
          <w:spacing w:val="-6"/>
          <w:sz w:val="32"/>
          <w:szCs w:val="32"/>
          <w:lang w:val="en-US" w:eastAsia="zh-CN"/>
        </w:rPr>
      </w:pPr>
    </w:p>
    <w:p>
      <w:pPr>
        <w:rPr>
          <w:rFonts w:hint="eastAsia" w:ascii="仿宋" w:hAnsi="仿宋" w:eastAsia="仿宋" w:cs="仿宋"/>
          <w:b/>
          <w:bCs/>
          <w:spacing w:val="-6"/>
          <w:sz w:val="32"/>
          <w:szCs w:val="32"/>
          <w:lang w:val="en-US" w:eastAsia="zh-CN"/>
        </w:rPr>
      </w:pPr>
    </w:p>
    <w:p>
      <w:pPr>
        <w:rPr>
          <w:rFonts w:hint="eastAsia" w:ascii="仿宋" w:hAnsi="仿宋" w:eastAsia="仿宋" w:cs="仿宋"/>
          <w:b/>
          <w:bCs/>
          <w:spacing w:val="-6"/>
          <w:sz w:val="32"/>
          <w:szCs w:val="32"/>
          <w:lang w:val="en-US" w:eastAsia="zh-CN"/>
        </w:rPr>
      </w:pPr>
      <w:r>
        <w:rPr>
          <w:rFonts w:hint="eastAsia" w:ascii="仿宋" w:hAnsi="仿宋" w:eastAsia="仿宋" w:cs="仿宋"/>
          <w:b/>
          <w:bCs/>
          <w:spacing w:val="-6"/>
          <w:sz w:val="32"/>
          <w:szCs w:val="32"/>
          <w:lang w:val="en-US" w:eastAsia="zh-CN"/>
        </w:rPr>
        <w:t>典型案例1</w:t>
      </w:r>
    </w:p>
    <w:p>
      <w:pPr>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黑体" w:hAnsi="黑体" w:eastAsia="黑体" w:cs="黑体"/>
          <w:b/>
          <w:bCs/>
          <w:sz w:val="28"/>
          <w:szCs w:val="28"/>
          <w:lang w:val="en-US" w:eastAsia="zh-CN"/>
        </w:rPr>
      </w:pPr>
      <w:bookmarkStart w:id="0" w:name="_Toc29646"/>
      <w:r>
        <w:rPr>
          <w:rFonts w:hint="eastAsia" w:ascii="黑体" w:hAnsi="黑体" w:eastAsia="黑体" w:cs="黑体"/>
          <w:b/>
          <w:bCs/>
          <w:sz w:val="28"/>
          <w:szCs w:val="28"/>
          <w:lang w:val="en-US" w:eastAsia="zh-CN"/>
        </w:rPr>
        <w:t>全力打造教师创新团队，全面提升教师综合素质</w:t>
      </w:r>
      <w:bookmarkEnd w:id="0"/>
    </w:p>
    <w:p>
      <w:pPr>
        <w:pageBreakBefore w:val="0"/>
        <w:widowControl w:val="0"/>
        <w:numPr>
          <w:ilvl w:val="0"/>
          <w:numId w:val="2"/>
        </w:numPr>
        <w:kinsoku/>
        <w:wordWrap/>
        <w:overflowPunct/>
        <w:topLinePunct w:val="0"/>
        <w:autoSpaceDE/>
        <w:autoSpaceDN/>
        <w:bidi w:val="0"/>
        <w:adjustRightInd/>
        <w:snapToGrid/>
        <w:spacing w:before="0" w:beforeLines="0" w:after="0" w:afterLines="0" w:line="360" w:lineRule="auto"/>
        <w:textAlignment w:val="auto"/>
        <w:outlineLvl w:val="9"/>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背景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阜阳工业经济学校创办于1981年，1995年更名为阜阳工业经济学校。2005年被教育部命名为国家级重点中等职业学校。2012年被批准为第二批国家级中等职业教育改革发展示范学校建设学校。2015年，原阜阳商业学校合并到我校，两校合并后凸显以下两个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（一）两个校区的教师受原学校的校园文化、工作习惯、行为方式等影响，导致两校合并后教师相互之间融合较困难，甚至出现相互抵制的现象，严重影响并阻碍学校工作的开展。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二）两校合并之初，无论是参加教师教学能力大赛，还是指导学生参加技能大赛，或是在教育教学、教研科研方面出现了两校区教师单打独斗的现象，难以达到预期的成效，只有组建合理的教师团队才能充分发挥1+1大于2的团队效果。</w:t>
      </w:r>
    </w:p>
    <w:p>
      <w:pPr>
        <w:pStyle w:val="1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600" w:firstLineChars="200"/>
        <w:jc w:val="both"/>
        <w:textAlignment w:val="auto"/>
        <w:outlineLvl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基于以上两个问题，经学校研究决定，在全校所有教师中分四种类型组建教师创新团队，分别是教育教学型创新团队、教研科研型创新团队、技能大赛型创新团队、技能大师型创新团队，</w:t>
      </w:r>
    </w:p>
    <w:p>
      <w:pPr>
        <w:pStyle w:val="1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600" w:firstLineChars="200"/>
        <w:jc w:val="both"/>
        <w:textAlignment w:val="auto"/>
        <w:outlineLvl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经过几年的实践初步形成了“1438”教师创新团队模式，既1个目标：全面提升教师综合素质；4种类型：4种不同类型的教学团队，分别是教育教学型创新团队、教研科研型创新团队、技能大赛型创新团队、技能大师型创新团队；3个团队：每位老师至少参加一个团队，至多参加三个团队；8次活动：每个团队每年至少开展八次专项活动。</w:t>
      </w:r>
    </w:p>
    <w:p>
      <w:pPr>
        <w:pStyle w:val="1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二、分类组建创新团队</w:t>
      </w:r>
    </w:p>
    <w:p>
      <w:pPr>
        <w:pStyle w:val="1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600" w:firstLineChars="200"/>
        <w:jc w:val="both"/>
        <w:textAlignment w:val="auto"/>
        <w:outlineLvl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为全力打造教师创新团队，全面提升教师综合素质，确保两校全面融合，学校研究决定在机构改革的基础上，分类组建教师创新团队。</w:t>
      </w:r>
    </w:p>
    <w:p>
      <w:pPr>
        <w:pStyle w:val="14"/>
        <w:keepNext w:val="0"/>
        <w:keepLines w:val="0"/>
        <w:pageBreakBefore w:val="0"/>
        <w:widowControl/>
        <w:numPr>
          <w:ilvl w:val="0"/>
          <w:numId w:val="3"/>
        </w:numPr>
        <w:shd w:val="clear" w:color="auto" w:fill="FFFFFF"/>
        <w:kinsoku/>
        <w:wordWrap/>
        <w:overflowPunct/>
        <w:topLinePunct w:val="0"/>
        <w:autoSpaceDE/>
        <w:autoSpaceDN/>
        <w:bidi w:val="0"/>
        <w:adjustRightInd w:val="0"/>
        <w:snapToGrid w:val="0"/>
        <w:spacing w:before="0" w:beforeAutospacing="0" w:after="0" w:afterAutospacing="0" w:line="360" w:lineRule="auto"/>
        <w:ind w:firstLine="600" w:firstLineChars="200"/>
        <w:jc w:val="both"/>
        <w:textAlignment w:val="auto"/>
        <w:outlineLvl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团队设置</w:t>
      </w:r>
    </w:p>
    <w:p>
      <w:pPr>
        <w:pStyle w:val="14"/>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360" w:lineRule="auto"/>
        <w:ind w:firstLine="600" w:firstLineChars="200"/>
        <w:jc w:val="both"/>
        <w:textAlignment w:val="auto"/>
        <w:outlineLvl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学校规定将全校多有教师，根据其个人情况，分别组建四种类型的教师创新团队：</w:t>
      </w:r>
    </w:p>
    <w:p>
      <w:pPr>
        <w:pStyle w:val="14"/>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360" w:lineRule="auto"/>
        <w:ind w:firstLine="600" w:firstLineChars="200"/>
        <w:jc w:val="both"/>
        <w:textAlignment w:val="auto"/>
        <w:outlineLvl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1、教育教学型创新团队</w:t>
      </w:r>
    </w:p>
    <w:p>
      <w:pPr>
        <w:pStyle w:val="14"/>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360" w:lineRule="auto"/>
        <w:ind w:firstLine="600" w:firstLineChars="200"/>
        <w:jc w:val="both"/>
        <w:textAlignment w:val="auto"/>
        <w:outlineLvl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2、教研科研型创新团队</w:t>
      </w:r>
    </w:p>
    <w:p>
      <w:pPr>
        <w:pStyle w:val="14"/>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360" w:lineRule="auto"/>
        <w:ind w:firstLine="600" w:firstLineChars="200"/>
        <w:jc w:val="both"/>
        <w:textAlignment w:val="auto"/>
        <w:outlineLvl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3、技能大赛型创新团队</w:t>
      </w:r>
    </w:p>
    <w:p>
      <w:pPr>
        <w:pStyle w:val="14"/>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360" w:lineRule="auto"/>
        <w:ind w:firstLine="600" w:firstLineChars="200"/>
        <w:jc w:val="both"/>
        <w:textAlignment w:val="auto"/>
        <w:outlineLvl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4、技能大师型创新团队</w:t>
      </w:r>
    </w:p>
    <w:p>
      <w:pPr>
        <w:pStyle w:val="1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600" w:firstLineChars="200"/>
        <w:jc w:val="both"/>
        <w:textAlignment w:val="auto"/>
        <w:outlineLvl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（二）教师创新团队建设的要求与组建程序</w:t>
      </w:r>
    </w:p>
    <w:p>
      <w:pPr>
        <w:pStyle w:val="1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600" w:firstLineChars="200"/>
        <w:jc w:val="both"/>
        <w:textAlignment w:val="auto"/>
        <w:outlineLvl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1、人员构成：每个团队由一名团队负责人以及若干名专业骨干教师、专任教师组成。</w:t>
      </w:r>
    </w:p>
    <w:p>
      <w:pPr>
        <w:pStyle w:val="1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600" w:firstLineChars="200"/>
        <w:jc w:val="both"/>
        <w:textAlignment w:val="auto"/>
        <w:outlineLvl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2、隶属关系：团队由分管教学副校长直接领导，团队成员可以跨专业、跨部门。</w:t>
      </w:r>
    </w:p>
    <w:p>
      <w:pPr>
        <w:pStyle w:val="1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600" w:firstLineChars="200"/>
        <w:jc w:val="both"/>
        <w:textAlignment w:val="auto"/>
        <w:outlineLvl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3、成员数量：每个团队的成员数量原则上在5—10人，每一位教师最少参加1个团队，最多参加3个团队。</w:t>
      </w:r>
    </w:p>
    <w:p>
      <w:pPr>
        <w:pStyle w:val="1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600" w:firstLineChars="200"/>
        <w:jc w:val="both"/>
        <w:textAlignment w:val="auto"/>
        <w:outlineLvl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4、组建程序：由教师根据自己的意愿，填写申请表，学校对教师申请表进行整理，进行适当调整，确保每个团队在年龄、职称上搭配合理。</w:t>
      </w:r>
    </w:p>
    <w:p>
      <w:pPr>
        <w:pStyle w:val="1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602" w:firstLineChars="200"/>
        <w:jc w:val="both"/>
        <w:textAlignment w:val="auto"/>
        <w:outlineLvl w:val="9"/>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三、分别制定运行机制</w:t>
      </w:r>
    </w:p>
    <w:p>
      <w:pPr>
        <w:pStyle w:val="1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600" w:firstLineChars="200"/>
        <w:jc w:val="both"/>
        <w:textAlignment w:val="auto"/>
        <w:outlineLvl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（一）团队运行规则</w:t>
      </w:r>
    </w:p>
    <w:p>
      <w:pPr>
        <w:pStyle w:val="1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600" w:firstLineChars="200"/>
        <w:jc w:val="both"/>
        <w:textAlignment w:val="auto"/>
        <w:outlineLvl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根据学校安排，各创新团队每月至少组织一次活动，活动前确定活动计划与方案报分管校领导审批后方可开展，活动时保证团队每位成员按时参加，活动后要进行总结和提升。</w:t>
      </w:r>
    </w:p>
    <w:p>
      <w:pPr>
        <w:pStyle w:val="1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600" w:firstLineChars="200"/>
        <w:jc w:val="both"/>
        <w:textAlignment w:val="auto"/>
        <w:outlineLvl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根据四种不同的创新团队特点，分别制定了各个团队的运行规则，确保每个团队发挥其最大的作用。</w:t>
      </w:r>
    </w:p>
    <w:p>
      <w:pPr>
        <w:pStyle w:val="1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602" w:firstLineChars="200"/>
        <w:jc w:val="both"/>
        <w:textAlignment w:val="auto"/>
        <w:outlineLvl w:val="9"/>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1、教育教学型创新团队</w:t>
      </w:r>
    </w:p>
    <w:p>
      <w:pPr>
        <w:pStyle w:val="1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600" w:firstLineChars="200"/>
        <w:jc w:val="both"/>
        <w:textAlignment w:val="auto"/>
        <w:outlineLvl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我校教育教学型创新团队又分为基础课程教育教学创新团队、思政课程教育教学创新团队、财经商贸类教育教学创新团队、信息技术类教育教学创新团队、音乐类教育教学创新团队、汽车类教育教学创新团队、制冷数控类教育教学创新团队、现代服务类教育教学创新团队。</w:t>
      </w:r>
    </w:p>
    <w:p>
      <w:pPr>
        <w:pStyle w:val="1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600" w:firstLineChars="200"/>
        <w:jc w:val="both"/>
        <w:textAlignment w:val="auto"/>
        <w:outlineLvl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组建教育教学型创新团队的核心目的是为了提升我校教育教学质量，提高教育教学质量不能依靠教师的单兵作战，必须依靠“集团军”。所以团队在开学前都会组织教师进行教材组织、教案编写、多媒体课件制作，学期中定期进行优秀示范课讲授、辅导答疑等多项集体活动，学期末进行总结和评价。但随着教学内容的日益综合化、教学手段的现代化，对教师本身的素质提出更好的要求，针对该问题，团队采取一下解决办法与运行规则：</w:t>
      </w:r>
    </w:p>
    <w:p>
      <w:pPr>
        <w:pStyle w:val="1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600" w:firstLineChars="200"/>
        <w:jc w:val="both"/>
        <w:textAlignment w:val="auto"/>
        <w:outlineLvl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（1）定期举办教育教学研讨会，与时俱进，及时更新知识结构，了解和掌握各学科的动态和前沿，并要求教师及时调整教学内容，使教学与社会进步保持同步，在教育教学中保持知识的“新鲜度”。</w:t>
      </w:r>
    </w:p>
    <w:p>
      <w:pPr>
        <w:pStyle w:val="1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600" w:firstLineChars="200"/>
        <w:jc w:val="both"/>
        <w:textAlignment w:val="auto"/>
        <w:outlineLvl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2）由团队中各个学科的专业带头人深入了解交叉学科的相关知识。通过学期初例会的方式传达给各专业组教师，并要求教师在备课时掌握交叉学科的知识点。学科交叉，信息融合是信息时代的又一特点，为了使学生适应未来工作岗位的需求，要求教师改变传统单一的知识结构，不断学习和吸纳相关专业领域的知识，保证在教育教学中保持知识的“丰富度”。</w:t>
      </w:r>
    </w:p>
    <w:p>
      <w:pPr>
        <w:pStyle w:val="1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600" w:firstLineChars="200"/>
        <w:jc w:val="both"/>
        <w:textAlignment w:val="auto"/>
        <w:outlineLvl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3）团队定期组织现代化教学手段培训，以前依靠一支粉笔打天下的教育教学手段已慢慢成为历史，由于教学信息量的增加，依靠板书所能表现的信息量有很大的局限性，只有让教师多用、活用多媒体等现代教学手段，才能大大增强教育教学的“表现度”。</w:t>
      </w:r>
    </w:p>
    <w:p>
      <w:pPr>
        <w:pStyle w:val="1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600" w:firstLineChars="200"/>
        <w:jc w:val="both"/>
        <w:textAlignment w:val="auto"/>
        <w:outlineLvl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4）团队定期举行优秀示范课讲授，由前一年教学能力大赛获奖教师讲授一节示范课，教育教学不能单打独斗、闭门造车，一定要多交流和学习，观摩优秀教师的授课技巧与风格，对我校中青年教师有很大的启发和促进作用。</w:t>
      </w:r>
    </w:p>
    <w:p>
      <w:pPr>
        <w:pStyle w:val="1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600" w:firstLineChars="200"/>
        <w:jc w:val="both"/>
        <w:textAlignment w:val="auto"/>
        <w:outlineLvl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（5）组织团队教师参加每年一度的阜阳市专业学科教研活动及三优评选，通过活动和比赛，来检验团队一年来的运行成效。</w:t>
      </w:r>
    </w:p>
    <w:p>
      <w:pPr>
        <w:pStyle w:val="1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600" w:firstLineChars="200"/>
        <w:jc w:val="both"/>
        <w:textAlignment w:val="auto"/>
        <w:outlineLvl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（6）根据教师个人特长，逐步探索模块教学，既一门课程由几位教师分模块共同完成教学任务。</w:t>
      </w:r>
    </w:p>
    <w:p>
      <w:pPr>
        <w:pStyle w:val="14"/>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360" w:lineRule="auto"/>
        <w:ind w:firstLine="602" w:firstLineChars="200"/>
        <w:jc w:val="both"/>
        <w:textAlignment w:val="auto"/>
        <w:outlineLvl w:val="9"/>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2、教研科研型创新团队</w:t>
      </w:r>
    </w:p>
    <w:p>
      <w:pPr>
        <w:widowControl/>
        <w:adjustRightInd w:val="0"/>
        <w:snapToGrid w:val="0"/>
        <w:spacing w:line="360" w:lineRule="auto"/>
        <w:ind w:firstLine="663" w:firstLineChars="221"/>
        <w:jc w:val="left"/>
        <w:outlineLvl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我校教研科研型创新团队以大力提升学校教科研水平为目标，树立 “以科研促教研,以教研促教学，以教学促质量”的教科研理念，坚持“以教育科研为先导，以科研课题研究为载体，以常规教学研究为基础，以课堂教学改革为突破口”的科研导向， 发挥教科研团队辐射、指导作用，以点带面，力争使学校教师“全员、全过程”扎实开展教科研活动，从而提高学校教科研工作的整体水平，真正让教科研成为提升教师个人专业成长、提高教育教学质量，提升教师综合素质。团队运行规则如下：</w:t>
      </w:r>
    </w:p>
    <w:p>
      <w:pPr>
        <w:widowControl/>
        <w:adjustRightInd w:val="0"/>
        <w:snapToGrid w:val="0"/>
        <w:spacing w:line="360" w:lineRule="auto"/>
        <w:ind w:firstLine="663" w:firstLineChars="221"/>
        <w:jc w:val="left"/>
        <w:outlineLvl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（1）定期组织理论学习大会，提升教师的理论素养，以各专业组为龙头，狠抓教师的理论学习，引导教师树立实践的观点，发展的观点，帮助我校教师不断更新教育理念。</w:t>
      </w:r>
    </w:p>
    <w:p>
      <w:pPr>
        <w:widowControl/>
        <w:adjustRightInd w:val="0"/>
        <w:snapToGrid w:val="0"/>
        <w:spacing w:line="360" w:lineRule="auto"/>
        <w:ind w:firstLine="600" w:firstLineChars="200"/>
        <w:jc w:val="left"/>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由团队及各专业组负责人采集当前形式下的前沿理念、课改经验和教改信息，编辑成电子书目，供教师自学时选读，同时鼓励教师根据自己的工作实际再阅读相关书籍，鼓励广大教师积极订阅学科类杂志与报刊，加强自我学习与充电。团队定期交流学习经验和体会，举行教师读书学习笔记展示，评选读书学习活动先进个人，激励先进，鞭策后进，切实提高读书学习活动的实效。在此基础上，组织优秀教育活动评比和读书学习论文评比，促使教师把理论学习和科研实践结合起来，不断提高新的研究水平。</w:t>
      </w:r>
    </w:p>
    <w:p>
      <w:pPr>
        <w:widowControl/>
        <w:adjustRightInd w:val="0"/>
        <w:snapToGrid w:val="0"/>
        <w:spacing w:line="360" w:lineRule="auto"/>
        <w:ind w:firstLine="600" w:firstLineChars="200"/>
        <w:jc w:val="left"/>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由团队组织学校全体教师进行知识讲座、学术沙龙活动，使广大教师人人参与教研科研，个个出科研成果，激发全校教师的教研科研热情，营造浓厚的教研科研气氛，壮大教研科研队伍，从而将全校的教研科研工作推到一个崭新的平台。</w:t>
      </w:r>
    </w:p>
    <w:p>
      <w:pPr>
        <w:widowControl/>
        <w:adjustRightInd w:val="0"/>
        <w:snapToGrid w:val="0"/>
        <w:spacing w:line="360" w:lineRule="auto"/>
        <w:ind w:firstLine="600" w:firstLineChars="200"/>
        <w:jc w:val="left"/>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组织开展省、市级课题研究，以课题研究为突破口，切实解决教学中的疑难问题，推进课程改革向纵深发展，注重课题研究的过程管理和课题成果的推广，突出教研科研的时效性。每个课题组集中活动每学期不少于五次，内容包括理论学习、阶段性研究讨论等。</w:t>
      </w:r>
    </w:p>
    <w:p>
      <w:pPr>
        <w:widowControl/>
        <w:adjustRightInd w:val="0"/>
        <w:snapToGrid w:val="0"/>
        <w:spacing w:line="360" w:lineRule="auto"/>
        <w:ind w:firstLine="600" w:firstLineChars="200"/>
        <w:jc w:val="left"/>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进一步丰富我校专业文化内涵，每学期开展两次校本课程建设会议，稳步提升育人质量，团队还聘请专家坐镇指导，聚集团队的精英深入探究，将学校的办学理念和人才培养特色用校本课程的方式呈现出来。</w:t>
      </w:r>
    </w:p>
    <w:p>
      <w:pPr>
        <w:widowControl/>
        <w:adjustRightInd w:val="0"/>
        <w:snapToGrid w:val="0"/>
        <w:spacing w:line="360" w:lineRule="auto"/>
        <w:ind w:firstLine="602" w:firstLineChars="200"/>
        <w:jc w:val="left"/>
        <w:outlineLvl w:val="9"/>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3、技能大赛型创新团队</w:t>
      </w:r>
    </w:p>
    <w:p>
      <w:pPr>
        <w:widowControl/>
        <w:adjustRightInd w:val="0"/>
        <w:snapToGrid w:val="0"/>
        <w:spacing w:line="360" w:lineRule="auto"/>
        <w:ind w:firstLine="600" w:firstLineChars="200"/>
        <w:jc w:val="left"/>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技能大赛型创新团队又分为电子与信息类技能大赛创新团队、装备制造类技能大赛创新团队、交通运输类技能大赛创新团队、文化艺术类技能大赛创新团队、财经商贸类技能大赛创新团队、旅游类技能大赛创新团队。</w:t>
      </w:r>
    </w:p>
    <w:p>
      <w:pPr>
        <w:widowControl/>
        <w:adjustRightInd w:val="0"/>
        <w:snapToGrid w:val="0"/>
        <w:spacing w:line="360" w:lineRule="auto"/>
        <w:ind w:firstLine="600" w:firstLineChars="200"/>
        <w:jc w:val="left"/>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普通教育有高考，职业教育有大赛，技能大赛已经成为一个学校办学实力核心衡量标准，引领各个中等职业学校开展新一轮的改革。我校技能大赛创新团队主要由学生技能大赛指导教师和教学能力大赛参赛教师组成，团队运行规则如下：</w:t>
      </w:r>
    </w:p>
    <w:p>
      <w:pPr>
        <w:pStyle w:val="14"/>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360" w:lineRule="auto"/>
        <w:ind w:firstLine="600" w:firstLineChars="200"/>
        <w:jc w:val="both"/>
        <w:textAlignment w:val="auto"/>
        <w:outlineLvl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组织集体分析活动，对每年技能竞赛的竞赛规程进行分析，技能竞赛每个赛项都有比赛规程和具体的评分标准，并且每年的竞赛规程大都存在变化，只有对大赛规程研究透彻，才能有效的组织下一步的工作。</w:t>
      </w:r>
    </w:p>
    <w:p>
      <w:pPr>
        <w:pStyle w:val="14"/>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360" w:lineRule="auto"/>
        <w:ind w:firstLine="600" w:firstLineChars="200"/>
        <w:jc w:val="both"/>
        <w:textAlignment w:val="auto"/>
        <w:outlineLvl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2）组织集体研讨活动，制定科学有效的培训计划，培训计划是对培训工作的整体安排，要以大赛规程为出发点，根据教师及学生的实践能力和实际水平、比赛时间及培训材料，通过集体研讨，制定科学有效的培训计划，在制定的过程中以赛项规程为向导，在此基础上还要兼顾趣味性，提高选手的学习兴趣和主动性。</w:t>
      </w:r>
    </w:p>
    <w:p>
      <w:pPr>
        <w:pStyle w:val="14"/>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360" w:lineRule="auto"/>
        <w:ind w:firstLine="600" w:firstLineChars="200"/>
        <w:jc w:val="both"/>
        <w:textAlignment w:val="auto"/>
        <w:outlineLvl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3）定期组织竞赛试题设计活动，以项目出发，设计培训试题，在技能中已经没有对单纯理论知识的考核，而是将理论知识的考核引入到实践的任务中，要求选手有较高的理论知识应用能力和实践能力，因此竞赛试题设计活动显得尤为重要。</w:t>
      </w:r>
    </w:p>
    <w:p>
      <w:pPr>
        <w:pStyle w:val="14"/>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360" w:lineRule="auto"/>
        <w:ind w:firstLine="600" w:firstLineChars="200"/>
        <w:jc w:val="both"/>
        <w:textAlignment w:val="auto"/>
        <w:outlineLvl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（4）定期组织对外交流活动，技能竞赛不能一味单打独斗，闭门造车，需要和高水平的竞赛团队交流学习，由团队负责协调联系各竞赛项目省内外优秀队伍，组织拉练活动，交流学习，取长补短。</w:t>
      </w:r>
    </w:p>
    <w:p>
      <w:pPr>
        <w:pStyle w:val="14"/>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360" w:lineRule="auto"/>
        <w:ind w:firstLine="600" w:firstLineChars="200"/>
        <w:jc w:val="both"/>
        <w:textAlignment w:val="auto"/>
        <w:outlineLvl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（5）定期组织学校教学能力竞赛团队研修活动，聘请省级、国家级获奖教师来我校进行交流讲座活动，切实提升我校参赛教师的教学能力水平。</w:t>
      </w:r>
    </w:p>
    <w:p>
      <w:pPr>
        <w:pStyle w:val="14"/>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360" w:lineRule="auto"/>
        <w:ind w:firstLine="602" w:firstLineChars="200"/>
        <w:jc w:val="both"/>
        <w:textAlignment w:val="auto"/>
        <w:outlineLvl w:val="9"/>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4、技能大师型创新团队</w:t>
      </w:r>
    </w:p>
    <w:p>
      <w:pPr>
        <w:pStyle w:val="14"/>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360" w:lineRule="auto"/>
        <w:ind w:firstLine="600" w:firstLineChars="200"/>
        <w:jc w:val="both"/>
        <w:textAlignment w:val="auto"/>
        <w:outlineLvl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技能大师型创新团队又分为信息技术类技能大师创新团队、装备制造类技能大师创新团队、交通运输类技能大师创新团队。</w:t>
      </w:r>
    </w:p>
    <w:p>
      <w:pPr>
        <w:pStyle w:val="14"/>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360" w:lineRule="auto"/>
        <w:ind w:firstLine="600" w:firstLineChars="200"/>
        <w:jc w:val="both"/>
        <w:textAlignment w:val="auto"/>
        <w:outlineLvl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学校根据教师个人意愿，结合教师专业技术水平，确定了三个校级技能大师工作室，依托大师工作室推动我校教育教学水平和质量提升，提炼优秀教学成果，带动学校教师队伍整体素质的提升，以适应现代职业教育发展和培养高素质技能型人才的需要，技能大师创新团队具体运行规则如下：</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firstLine="600" w:firstLineChars="200"/>
        <w:jc w:val="both"/>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lang w:val="en-US" w:eastAsia="zh-CN"/>
        </w:rPr>
        <w:t>1</w:t>
      </w:r>
      <w:r>
        <w:rPr>
          <w:rFonts w:hint="eastAsia" w:ascii="仿宋" w:hAnsi="仿宋" w:eastAsia="仿宋" w:cs="仿宋"/>
          <w:color w:val="000000"/>
          <w:sz w:val="30"/>
          <w:szCs w:val="30"/>
          <w:lang w:eastAsia="zh-CN"/>
        </w:rPr>
        <w:t>）团队每个月</w:t>
      </w:r>
      <w:r>
        <w:rPr>
          <w:rFonts w:hint="eastAsia" w:ascii="仿宋" w:hAnsi="仿宋" w:eastAsia="仿宋" w:cs="仿宋"/>
          <w:kern w:val="2"/>
          <w:sz w:val="30"/>
          <w:szCs w:val="30"/>
          <w:lang w:val="en-US" w:eastAsia="zh-CN" w:bidi="ar-SA"/>
        </w:rPr>
        <w:t>开展一次专项活动，促进双师队伍建设，通过职业培训、技术研发与交流、技术骨干培训、师资培训、职业技能鉴定题库建设等活动，使教师了解企业发展的最新动态，进行技术交流与研讨，团队成员现场接受大师的精心解答、指导和点拨，解决教师的困惑与难题，打破教学局限性。大师工作室充分发挥其优势和社会资源，承接科研项目参与企业技术改造，团队教师承受实际项目的锤炼和培养。</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0" w:right="0" w:firstLine="600" w:firstLineChars="200"/>
        <w:jc w:val="both"/>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lang w:val="en-US" w:eastAsia="zh-CN"/>
        </w:rPr>
        <w:t>2</w:t>
      </w:r>
      <w:r>
        <w:rPr>
          <w:rFonts w:hint="eastAsia" w:ascii="仿宋" w:hAnsi="仿宋" w:eastAsia="仿宋" w:cs="仿宋"/>
          <w:color w:val="000000"/>
          <w:sz w:val="30"/>
          <w:szCs w:val="30"/>
          <w:lang w:eastAsia="zh-CN"/>
        </w:rPr>
        <w:t>）在学校和上级主管部门的支持下，定期对学校各专业教师开展“教学能力提升”和“专业技术能力”培训班，，发挥技能大师在专业领域内的示范作用，提高专业教师的教育教学和科研水平，提升教学理念，培养专业教学骨干。大大提高了我校教师的专业技能水平，收到了良好的反响。</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0" w:right="0" w:firstLine="600" w:firstLineChars="200"/>
        <w:jc w:val="both"/>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（二）约束和激励机制</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0" w:right="0" w:firstLine="600" w:firstLineChars="200"/>
        <w:jc w:val="both"/>
        <w:textAlignment w:val="auto"/>
        <w:outlineLvl w:val="9"/>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1、团队成员在合作的基础上明确分工和工作职责，每个成员须承担一定的工作任务，形成团队内部的沟通制度、会议制度等。</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firstLine="600" w:firstLineChars="200"/>
        <w:jc w:val="both"/>
        <w:textAlignment w:val="auto"/>
        <w:outlineLvl w:val="9"/>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2、各团队建立规章制度，团队内部考核由团队负责人负责，团队负责人有权将不能履行职责的成员开除出团队，并根据工作需要增补。被开除出团队的教师取消当年评优评先资格。</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0" w:right="0" w:firstLine="600" w:firstLineChars="200"/>
        <w:jc w:val="both"/>
        <w:textAlignment w:val="auto"/>
        <w:outlineLvl w:val="9"/>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3、学校每学年给予团队一定的活动经费，对于每学年工作绩效获得优秀的团队，学校将给予一定的奖励，奖金由团队负责人支配或分配，但需接受学校的监督。</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0" w:firstLine="600" w:firstLineChars="200"/>
        <w:jc w:val="both"/>
        <w:textAlignment w:val="auto"/>
        <w:outlineLvl w:val="9"/>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4、对于在团队中表现优秀并取得相应成绩的教师，在职称评聘上给予同等条件下优先考虑。</w:t>
      </w:r>
    </w:p>
    <w:p>
      <w:pPr>
        <w:pageBreakBefore w:val="0"/>
        <w:kinsoku/>
        <w:wordWrap/>
        <w:overflowPunct/>
        <w:topLinePunct w:val="0"/>
        <w:autoSpaceDE/>
        <w:autoSpaceDN/>
        <w:bidi w:val="0"/>
        <w:adjustRightInd/>
        <w:snapToGrid/>
        <w:spacing w:before="0" w:beforeLines="0" w:after="0" w:afterLines="0" w:line="360" w:lineRule="auto"/>
        <w:ind w:firstLine="602" w:firstLineChars="200"/>
        <w:textAlignment w:val="auto"/>
        <w:outlineLvl w:val="9"/>
        <w:rPr>
          <w:rFonts w:hint="eastAsia" w:ascii="仿宋" w:hAnsi="仿宋" w:eastAsia="仿宋" w:cs="仿宋"/>
          <w:b/>
          <w:bCs/>
          <w:sz w:val="30"/>
          <w:szCs w:val="30"/>
          <w:lang w:eastAsia="zh-CN"/>
        </w:rPr>
      </w:pPr>
      <w:r>
        <w:rPr>
          <w:rFonts w:hint="eastAsia" w:ascii="仿宋" w:hAnsi="仿宋" w:eastAsia="仿宋" w:cs="仿宋"/>
          <w:b/>
          <w:bCs/>
          <w:color w:val="000000"/>
          <w:sz w:val="30"/>
          <w:szCs w:val="30"/>
          <w:lang w:eastAsia="zh-CN"/>
        </w:rPr>
        <w:t>四、分项取得的建设成效</w:t>
      </w:r>
    </w:p>
    <w:p>
      <w:pPr>
        <w:pStyle w:val="14"/>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360" w:lineRule="auto"/>
        <w:ind w:firstLine="600" w:firstLineChars="200"/>
        <w:jc w:val="both"/>
        <w:textAlignment w:val="auto"/>
        <w:outlineLvl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经过三年的打造，各创新团队均取得了相应的建设成效。</w:t>
      </w:r>
    </w:p>
    <w:p>
      <w:pPr>
        <w:pStyle w:val="14"/>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360" w:lineRule="auto"/>
        <w:ind w:firstLine="600" w:firstLineChars="200"/>
        <w:jc w:val="both"/>
        <w:textAlignment w:val="auto"/>
        <w:outlineLvl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（一）教育教学型创新团队取得的成效：</w:t>
      </w:r>
    </w:p>
    <w:p>
      <w:pPr>
        <w:pStyle w:val="14"/>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360" w:lineRule="auto"/>
        <w:ind w:firstLine="600" w:firstLineChars="200"/>
        <w:jc w:val="both"/>
        <w:textAlignment w:val="auto"/>
        <w:outlineLvl w:val="9"/>
        <w:rPr>
          <w:rFonts w:hint="eastAsia" w:ascii="仿宋" w:hAnsi="仿宋" w:eastAsia="仿宋" w:cs="仿宋"/>
          <w:color w:val="000000"/>
          <w:sz w:val="30"/>
          <w:szCs w:val="30"/>
          <w:lang w:eastAsia="zh-CN"/>
        </w:rPr>
      </w:pPr>
      <w:r>
        <w:rPr>
          <w:rFonts w:hint="eastAsia" w:ascii="仿宋" w:hAnsi="仿宋" w:eastAsia="仿宋" w:cs="仿宋"/>
          <w:kern w:val="2"/>
          <w:sz w:val="30"/>
          <w:szCs w:val="30"/>
          <w:lang w:val="en-US" w:eastAsia="zh-CN" w:bidi="ar-SA"/>
        </w:rPr>
        <w:t>切实提升了全体教师的综合素质，</w:t>
      </w:r>
      <w:r>
        <w:rPr>
          <w:rFonts w:hint="eastAsia" w:ascii="仿宋" w:hAnsi="仿宋" w:eastAsia="仿宋" w:cs="仿宋"/>
          <w:color w:val="000000"/>
          <w:sz w:val="30"/>
          <w:szCs w:val="30"/>
          <w:lang w:val="en-US" w:eastAsia="zh-CN"/>
        </w:rPr>
        <w:t>获得2022年安徽省中等职业教育省级教学成果奖一等奖，1位教师获省级特级教师，1位教师获省级优秀教师，4</w:t>
      </w:r>
      <w:r>
        <w:rPr>
          <w:rFonts w:hint="eastAsia" w:ascii="仿宋" w:hAnsi="仿宋" w:eastAsia="仿宋" w:cs="仿宋"/>
          <w:color w:val="000000"/>
          <w:sz w:val="30"/>
          <w:szCs w:val="30"/>
          <w:lang w:eastAsia="zh-CN"/>
        </w:rPr>
        <w:t>位成功晋级正高级讲师（</w:t>
      </w:r>
      <w:r>
        <w:rPr>
          <w:rFonts w:hint="eastAsia" w:ascii="仿宋" w:hAnsi="仿宋" w:eastAsia="仿宋" w:cs="仿宋"/>
          <w:b/>
          <w:bCs/>
          <w:color w:val="000000"/>
          <w:sz w:val="30"/>
          <w:szCs w:val="30"/>
          <w:lang w:eastAsia="zh-CN"/>
        </w:rPr>
        <w:t>我校现共有</w:t>
      </w:r>
      <w:r>
        <w:rPr>
          <w:rFonts w:hint="eastAsia" w:ascii="仿宋" w:hAnsi="仿宋" w:eastAsia="仿宋" w:cs="仿宋"/>
          <w:b/>
          <w:bCs/>
          <w:color w:val="000000"/>
          <w:sz w:val="30"/>
          <w:szCs w:val="30"/>
          <w:lang w:val="en-US" w:eastAsia="zh-CN"/>
        </w:rPr>
        <w:t>5位，</w:t>
      </w:r>
      <w:r>
        <w:rPr>
          <w:rFonts w:hint="eastAsia" w:ascii="仿宋" w:hAnsi="仿宋" w:eastAsia="仿宋" w:cs="仿宋"/>
          <w:b/>
          <w:bCs/>
          <w:color w:val="000000"/>
          <w:sz w:val="30"/>
          <w:szCs w:val="30"/>
          <w:lang w:eastAsia="zh-CN"/>
        </w:rPr>
        <w:t>目前全省中职学校数量最多</w:t>
      </w:r>
      <w:r>
        <w:rPr>
          <w:rFonts w:hint="eastAsia" w:ascii="仿宋" w:hAnsi="仿宋" w:eastAsia="仿宋" w:cs="仿宋"/>
          <w:color w:val="000000"/>
          <w:sz w:val="30"/>
          <w:szCs w:val="30"/>
          <w:lang w:eastAsia="zh-CN"/>
        </w:rPr>
        <w:t>）。</w:t>
      </w:r>
    </w:p>
    <w:p>
      <w:pPr>
        <w:pStyle w:val="14"/>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360" w:lineRule="auto"/>
        <w:ind w:firstLine="600" w:firstLineChars="200"/>
        <w:jc w:val="both"/>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（二）教研科研型创新团队取得的成效</w:t>
      </w:r>
    </w:p>
    <w:p>
      <w:pPr>
        <w:pStyle w:val="14"/>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360" w:lineRule="auto"/>
        <w:ind w:firstLine="600" w:firstLineChars="200"/>
        <w:jc w:val="both"/>
        <w:textAlignment w:val="auto"/>
        <w:outlineLvl w:val="9"/>
        <w:rPr>
          <w:rFonts w:hint="eastAsia" w:ascii="仿宋" w:hAnsi="仿宋" w:eastAsia="仿宋" w:cs="仿宋"/>
          <w:color w:val="000000"/>
          <w:sz w:val="30"/>
          <w:szCs w:val="30"/>
          <w:lang w:eastAsia="zh-CN"/>
        </w:rPr>
      </w:pPr>
      <w:r>
        <w:rPr>
          <w:rFonts w:hint="eastAsia" w:ascii="仿宋" w:hAnsi="仿宋" w:eastAsia="仿宋" w:cs="仿宋"/>
          <w:sz w:val="30"/>
          <w:szCs w:val="30"/>
          <w:vertAlign w:val="baseline"/>
          <w:lang w:val="en-US" w:eastAsia="zh-CN"/>
        </w:rPr>
        <w:t>1、2021年</w:t>
      </w:r>
      <w:r>
        <w:rPr>
          <w:rFonts w:hint="eastAsia" w:ascii="仿宋" w:hAnsi="仿宋" w:eastAsia="仿宋" w:cs="仿宋"/>
          <w:color w:val="000000"/>
          <w:sz w:val="30"/>
          <w:szCs w:val="30"/>
          <w:lang w:eastAsia="zh-CN"/>
        </w:rPr>
        <w:t>完成了一项国家级课题、一项市级课题并结题。</w:t>
      </w:r>
    </w:p>
    <w:p>
      <w:pPr>
        <w:pStyle w:val="14"/>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360" w:lineRule="auto"/>
        <w:ind w:firstLine="600" w:firstLineChars="200"/>
        <w:jc w:val="both"/>
        <w:textAlignment w:val="auto"/>
        <w:outlineLvl w:val="9"/>
        <w:rPr>
          <w:rFonts w:hint="eastAsia" w:ascii="仿宋" w:hAnsi="仿宋" w:eastAsia="仿宋" w:cs="仿宋"/>
          <w:sz w:val="30"/>
          <w:szCs w:val="30"/>
          <w:vertAlign w:val="baseline"/>
          <w:lang w:val="en-US" w:eastAsia="zh-CN"/>
        </w:rPr>
      </w:pPr>
      <w:r>
        <w:rPr>
          <w:rFonts w:hint="eastAsia" w:ascii="仿宋" w:hAnsi="仿宋" w:eastAsia="仿宋" w:cs="仿宋"/>
          <w:sz w:val="30"/>
          <w:szCs w:val="30"/>
          <w:lang w:val="en-US" w:eastAsia="zh-CN"/>
        </w:rPr>
        <w:t>2、“</w:t>
      </w:r>
      <w:r>
        <w:rPr>
          <w:rFonts w:hint="eastAsia" w:ascii="仿宋" w:hAnsi="仿宋" w:eastAsia="仿宋" w:cs="仿宋"/>
          <w:sz w:val="30"/>
          <w:szCs w:val="30"/>
          <w:vertAlign w:val="baseline"/>
          <w:lang w:val="en-US" w:eastAsia="zh-CN"/>
        </w:rPr>
        <w:t>阜阳市2021年度“重大课题研究活动”优秀成果”中我校教师荣获市级一等奖1项。</w:t>
      </w:r>
    </w:p>
    <w:p>
      <w:pPr>
        <w:pStyle w:val="14"/>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360" w:lineRule="auto"/>
        <w:ind w:firstLine="600" w:firstLineChars="200"/>
        <w:jc w:val="both"/>
        <w:textAlignment w:val="auto"/>
        <w:outlineLvl w:val="9"/>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3、参加阜阳市专业学科教研活动中，13人次取得荣誉表彰。</w:t>
      </w:r>
    </w:p>
    <w:p>
      <w:pPr>
        <w:pStyle w:val="14"/>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360" w:lineRule="auto"/>
        <w:ind w:firstLine="600" w:firstLineChars="200"/>
        <w:jc w:val="both"/>
        <w:textAlignment w:val="auto"/>
        <w:outlineLvl w:val="9"/>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4、在优秀论文、教学软件、优质课评选中，获得省、市级奖项40余项，其中省级一等奖4项。</w:t>
      </w:r>
    </w:p>
    <w:p>
      <w:pPr>
        <w:pStyle w:val="14"/>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360" w:lineRule="auto"/>
        <w:ind w:firstLine="600" w:firstLineChars="200"/>
        <w:jc w:val="both"/>
        <w:textAlignment w:val="auto"/>
        <w:outlineLvl w:val="9"/>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5、近几年学校教师共发表论文40余篇，主参编教材6本、市级教科研课题立项4项。</w:t>
      </w:r>
    </w:p>
    <w:p>
      <w:pPr>
        <w:pStyle w:val="14"/>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360" w:lineRule="auto"/>
        <w:ind w:firstLine="600" w:firstLineChars="200"/>
        <w:jc w:val="both"/>
        <w:textAlignment w:val="auto"/>
        <w:outlineLvl w:val="9"/>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（三）技能大赛型创新团队取得的成效</w:t>
      </w:r>
    </w:p>
    <w:p>
      <w:pPr>
        <w:keepNext w:val="0"/>
        <w:keepLines w:val="0"/>
        <w:pageBreakBefore w:val="0"/>
        <w:widowControl/>
        <w:kinsoku/>
        <w:wordWrap/>
        <w:overflowPunct/>
        <w:topLinePunct w:val="0"/>
        <w:autoSpaceDE/>
        <w:autoSpaceDN/>
        <w:bidi w:val="0"/>
        <w:adjustRightInd/>
        <w:snapToGrid/>
        <w:spacing w:line="360" w:lineRule="auto"/>
        <w:ind w:left="0" w:leftChars="0" w:firstLine="600" w:firstLineChars="200"/>
        <w:jc w:val="both"/>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val="en-US" w:eastAsia="zh-CN"/>
        </w:rPr>
        <w:t>1、</w:t>
      </w:r>
      <w:r>
        <w:rPr>
          <w:rFonts w:hint="eastAsia" w:ascii="仿宋" w:hAnsi="仿宋" w:eastAsia="仿宋" w:cs="仿宋"/>
          <w:color w:val="000000"/>
          <w:sz w:val="30"/>
          <w:szCs w:val="30"/>
          <w:lang w:eastAsia="zh-CN"/>
        </w:rPr>
        <w:t>教师参与教学比赛活动获得市级一等奖以上30余人次（其中省级一等奖</w:t>
      </w:r>
      <w:r>
        <w:rPr>
          <w:rFonts w:hint="eastAsia" w:ascii="仿宋" w:hAnsi="仿宋" w:eastAsia="仿宋" w:cs="仿宋"/>
          <w:color w:val="000000"/>
          <w:sz w:val="30"/>
          <w:szCs w:val="30"/>
          <w:lang w:val="en-US" w:eastAsia="zh-CN"/>
        </w:rPr>
        <w:t>3项</w:t>
      </w:r>
      <w:r>
        <w:rPr>
          <w:rFonts w:hint="eastAsia" w:ascii="仿宋" w:hAnsi="仿宋" w:eastAsia="仿宋" w:cs="仿宋"/>
          <w:color w:val="000000"/>
          <w:sz w:val="30"/>
          <w:szCs w:val="30"/>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600" w:firstLineChars="200"/>
        <w:jc w:val="both"/>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val="en-US" w:eastAsia="zh-CN"/>
        </w:rPr>
        <w:t>2、</w:t>
      </w:r>
      <w:r>
        <w:rPr>
          <w:rFonts w:hint="eastAsia" w:ascii="仿宋" w:hAnsi="仿宋" w:eastAsia="仿宋" w:cs="仿宋"/>
          <w:color w:val="000000"/>
          <w:sz w:val="30"/>
          <w:szCs w:val="30"/>
          <w:lang w:eastAsia="zh-CN"/>
        </w:rPr>
        <w:t>指导学生获职业院校技能大赛省、市、国家级奖项</w:t>
      </w:r>
      <w:r>
        <w:rPr>
          <w:rFonts w:hint="eastAsia" w:ascii="仿宋" w:hAnsi="仿宋" w:eastAsia="仿宋" w:cs="仿宋"/>
          <w:color w:val="000000"/>
          <w:sz w:val="30"/>
          <w:szCs w:val="30"/>
          <w:lang w:val="en-US" w:eastAsia="zh-CN"/>
        </w:rPr>
        <w:t>60余项，</w:t>
      </w:r>
      <w:r>
        <w:rPr>
          <w:rFonts w:hint="eastAsia" w:ascii="仿宋" w:hAnsi="仿宋" w:eastAsia="仿宋" w:cs="仿宋"/>
          <w:color w:val="000000"/>
          <w:sz w:val="30"/>
          <w:szCs w:val="30"/>
          <w:lang w:eastAsia="zh-CN"/>
        </w:rPr>
        <w:t>其中国赛二等奖</w:t>
      </w:r>
      <w:r>
        <w:rPr>
          <w:rFonts w:hint="eastAsia" w:ascii="仿宋" w:hAnsi="仿宋" w:eastAsia="仿宋" w:cs="仿宋"/>
          <w:color w:val="000000"/>
          <w:sz w:val="30"/>
          <w:szCs w:val="30"/>
          <w:lang w:val="en-US" w:eastAsia="zh-CN"/>
        </w:rPr>
        <w:t>2</w:t>
      </w:r>
      <w:r>
        <w:rPr>
          <w:rFonts w:hint="eastAsia" w:ascii="仿宋" w:hAnsi="仿宋" w:eastAsia="仿宋" w:cs="仿宋"/>
          <w:color w:val="000000"/>
          <w:sz w:val="30"/>
          <w:szCs w:val="30"/>
          <w:lang w:eastAsia="zh-CN"/>
        </w:rPr>
        <w:t>项，三等奖</w:t>
      </w:r>
      <w:r>
        <w:rPr>
          <w:rFonts w:hint="eastAsia" w:ascii="仿宋" w:hAnsi="仿宋" w:eastAsia="仿宋" w:cs="仿宋"/>
          <w:color w:val="000000"/>
          <w:sz w:val="30"/>
          <w:szCs w:val="30"/>
          <w:lang w:val="en-US" w:eastAsia="zh-CN"/>
        </w:rPr>
        <w:t>3</w:t>
      </w:r>
      <w:r>
        <w:rPr>
          <w:rFonts w:hint="eastAsia" w:ascii="仿宋" w:hAnsi="仿宋" w:eastAsia="仿宋" w:cs="仿宋"/>
          <w:color w:val="000000"/>
          <w:sz w:val="30"/>
          <w:szCs w:val="30"/>
          <w:lang w:eastAsia="zh-CN"/>
        </w:rPr>
        <w:t>项。</w:t>
      </w:r>
    </w:p>
    <w:p>
      <w:pPr>
        <w:keepNext w:val="0"/>
        <w:keepLines w:val="0"/>
        <w:pageBreakBefore w:val="0"/>
        <w:widowControl/>
        <w:kinsoku/>
        <w:wordWrap/>
        <w:overflowPunct/>
        <w:topLinePunct w:val="0"/>
        <w:autoSpaceDE/>
        <w:autoSpaceDN/>
        <w:bidi w:val="0"/>
        <w:adjustRightInd/>
        <w:snapToGrid/>
        <w:spacing w:line="360" w:lineRule="auto"/>
        <w:ind w:left="0" w:leftChars="0" w:firstLine="600" w:firstLineChars="200"/>
        <w:jc w:val="both"/>
        <w:textAlignment w:val="auto"/>
        <w:outlineLvl w:val="9"/>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（四）技能大师型创新团队取得的成效</w:t>
      </w:r>
    </w:p>
    <w:p>
      <w:pPr>
        <w:keepNext w:val="0"/>
        <w:keepLines w:val="0"/>
        <w:pageBreakBefore w:val="0"/>
        <w:widowControl/>
        <w:kinsoku/>
        <w:wordWrap/>
        <w:overflowPunct/>
        <w:topLinePunct w:val="0"/>
        <w:autoSpaceDE/>
        <w:autoSpaceDN/>
        <w:bidi w:val="0"/>
        <w:adjustRightInd/>
        <w:snapToGrid/>
        <w:spacing w:line="360" w:lineRule="auto"/>
        <w:ind w:left="0" w:leftChars="0" w:firstLine="600" w:firstLineChars="200"/>
        <w:jc w:val="both"/>
        <w:textAlignment w:val="auto"/>
        <w:outlineLvl w:val="9"/>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1、王志强大师工作室、程训剑大师工作室获得——市级大师工作室称号。</w:t>
      </w:r>
    </w:p>
    <w:p>
      <w:pPr>
        <w:keepNext w:val="0"/>
        <w:keepLines w:val="0"/>
        <w:pageBreakBefore w:val="0"/>
        <w:widowControl/>
        <w:kinsoku/>
        <w:wordWrap/>
        <w:overflowPunct/>
        <w:topLinePunct w:val="0"/>
        <w:autoSpaceDE/>
        <w:autoSpaceDN/>
        <w:bidi w:val="0"/>
        <w:adjustRightInd/>
        <w:snapToGrid/>
        <w:spacing w:line="360" w:lineRule="auto"/>
        <w:ind w:left="0" w:leftChars="0" w:firstLine="600" w:firstLineChars="200"/>
        <w:jc w:val="both"/>
        <w:textAlignment w:val="auto"/>
        <w:outlineLvl w:val="9"/>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2、</w:t>
      </w:r>
      <w:r>
        <w:rPr>
          <w:rFonts w:hint="eastAsia" w:ascii="仿宋" w:hAnsi="仿宋" w:eastAsia="仿宋" w:cs="仿宋"/>
          <w:color w:val="000000"/>
          <w:sz w:val="30"/>
          <w:szCs w:val="30"/>
          <w:lang w:eastAsia="zh-CN"/>
        </w:rPr>
        <w:t>2位教师被评为市级专业带头人</w:t>
      </w:r>
      <w:r>
        <w:rPr>
          <w:rFonts w:hint="eastAsia" w:ascii="仿宋" w:hAnsi="仿宋" w:eastAsia="仿宋" w:cs="仿宋"/>
          <w:color w:val="000000"/>
          <w:sz w:val="30"/>
          <w:szCs w:val="30"/>
          <w:lang w:val="en-US" w:eastAsia="zh-CN"/>
        </w:rPr>
        <w:t>，1位教师被评为市级双师型骨干教师。</w:t>
      </w:r>
    </w:p>
    <w:p>
      <w:pPr>
        <w:keepNext w:val="0"/>
        <w:keepLines w:val="0"/>
        <w:pageBreakBefore w:val="0"/>
        <w:widowControl/>
        <w:kinsoku/>
        <w:wordWrap/>
        <w:overflowPunct/>
        <w:topLinePunct w:val="0"/>
        <w:autoSpaceDE/>
        <w:autoSpaceDN/>
        <w:bidi w:val="0"/>
        <w:adjustRightInd/>
        <w:snapToGrid/>
        <w:spacing w:line="360" w:lineRule="auto"/>
        <w:ind w:left="0" w:leftChars="0" w:firstLine="600" w:firstLineChars="200"/>
        <w:jc w:val="both"/>
        <w:textAlignment w:val="auto"/>
        <w:outlineLvl w:val="9"/>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3、有效实现了“双师型”教师的校本培养，目前学校共有“双师型”教师168人，占专任教师人数的90.81%。</w:t>
      </w: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eastAsia" w:ascii="仿宋" w:hAnsi="仿宋" w:eastAsia="仿宋" w:cs="仿宋"/>
          <w:lang w:val="en-US" w:eastAsia="zh-CN"/>
        </w:rPr>
      </w:pPr>
      <w:r>
        <w:rPr>
          <w:rFonts w:hint="eastAsia" w:ascii="仿宋" w:hAnsi="仿宋" w:eastAsia="仿宋" w:cs="仿宋"/>
          <w:lang w:val="en-US" w:eastAsia="zh-CN"/>
        </w:rPr>
        <w:t>典型案例2</w:t>
      </w:r>
    </w:p>
    <w:p>
      <w:pPr>
        <w:pStyle w:val="14"/>
        <w:widowControl/>
        <w:shd w:val="clear" w:color="auto" w:fill="FFFFFF"/>
        <w:adjustRightInd w:val="0"/>
        <w:snapToGrid w:val="0"/>
        <w:spacing w:before="0" w:beforeAutospacing="0" w:after="0" w:afterAutospacing="0" w:line="360" w:lineRule="auto"/>
        <w:ind w:firstLine="2409" w:firstLineChars="800"/>
        <w:jc w:val="both"/>
        <w:outlineLvl w:val="1"/>
        <w:rPr>
          <w:rFonts w:hint="eastAsia" w:ascii="宋体" w:hAnsi="宋体" w:cs="宋体"/>
          <w:b/>
          <w:bCs/>
          <w:color w:val="000000"/>
          <w:sz w:val="30"/>
          <w:szCs w:val="30"/>
          <w:lang w:eastAsia="zh-CN"/>
        </w:rPr>
      </w:pPr>
      <w:bookmarkStart w:id="1" w:name="_Toc21116"/>
      <w:bookmarkStart w:id="2" w:name="_Toc5412"/>
      <w:r>
        <w:rPr>
          <w:rFonts w:hint="eastAsia" w:ascii="宋体" w:hAnsi="宋体" w:cs="宋体"/>
          <w:b/>
          <w:bCs/>
          <w:color w:val="000000"/>
          <w:sz w:val="30"/>
          <w:szCs w:val="30"/>
          <w:lang w:eastAsia="zh-CN"/>
        </w:rPr>
        <w:t>“校企合作”典型案例</w:t>
      </w:r>
      <w:bookmarkEnd w:id="1"/>
      <w:bookmarkEnd w:id="2"/>
    </w:p>
    <w:p>
      <w:pPr>
        <w:pStyle w:val="14"/>
        <w:widowControl/>
        <w:numPr>
          <w:ilvl w:val="0"/>
          <w:numId w:val="4"/>
        </w:numPr>
        <w:shd w:val="clear" w:color="auto" w:fill="FFFFFF"/>
        <w:adjustRightInd w:val="0"/>
        <w:snapToGrid w:val="0"/>
        <w:spacing w:before="0" w:beforeAutospacing="0" w:after="0" w:afterAutospacing="0" w:line="360" w:lineRule="auto"/>
        <w:ind w:firstLine="602" w:firstLineChars="200"/>
        <w:outlineLvl w:val="9"/>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学校校企合作整体情况</w:t>
      </w:r>
    </w:p>
    <w:p>
      <w:pPr>
        <w:bidi w:val="0"/>
        <w:spacing w:line="360" w:lineRule="auto"/>
        <w:ind w:firstLine="600" w:firstLineChars="200"/>
        <w:jc w:val="left"/>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lang w:val="en-US" w:eastAsia="zh-CN" w:bidi="ar-SA"/>
        </w:rPr>
        <w:t xml:space="preserve">中职教育主要培养生产、管理、服务一线的技能型人才，强调毕业生对岗位的适应能力是中职办学的重要特色。但当前，相当大比例的中职毕业生在工作初期不能立即适应岗位，并由此产生了很多苦恼与困惑；另一方面，不少用人单位也认为应届毕业生难以很快融入企业，更愿意招聘具有一定工作经历的人才。造成这一现象的原因虽是多方面的，但在中职教育中没有充分开展校企合作是其中的一个重要原因。 </w:t>
      </w:r>
    </w:p>
    <w:p>
      <w:pPr>
        <w:bidi w:val="0"/>
        <w:spacing w:line="360" w:lineRule="auto"/>
        <w:jc w:val="left"/>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lang w:val="en-US" w:eastAsia="zh-CN" w:bidi="ar-SA"/>
        </w:rPr>
        <w:t xml:space="preserve">　　中职学生在毕业之前已度过了12年左右的校园生活。校园文化与企业文化之间存在诸多的不同，长期在校园文化熏陶中长大的中职学生，对于企业文化产生陌生感也就成为了一种客观现象。因此，对于为企业培养实用型、技能型人才的中等职业学校而言，如何提高学生对企业认知与熟悉程度，缩短毕业生适应岗位的时间，是需要重视的问题。而在专业教学中加强校企之间的合作是解决这一问题的重要途径。 </w:t>
      </w:r>
    </w:p>
    <w:p>
      <w:pPr>
        <w:pStyle w:val="14"/>
        <w:widowControl/>
        <w:numPr>
          <w:ilvl w:val="0"/>
          <w:numId w:val="0"/>
        </w:numPr>
        <w:shd w:val="clear" w:color="auto" w:fill="FFFFFF"/>
        <w:adjustRightInd w:val="0"/>
        <w:snapToGrid w:val="0"/>
        <w:spacing w:before="0" w:beforeAutospacing="0" w:after="0" w:afterAutospacing="0" w:line="360" w:lineRule="auto"/>
        <w:ind w:firstLine="600" w:firstLineChars="200"/>
        <w:outlineLvl w:val="9"/>
        <w:rPr>
          <w:rFonts w:hint="eastAsia" w:ascii="仿宋" w:hAnsi="仿宋" w:eastAsia="仿宋" w:cs="仿宋"/>
          <w:sz w:val="30"/>
          <w:szCs w:val="30"/>
        </w:rPr>
      </w:pPr>
      <w:r>
        <w:rPr>
          <w:rFonts w:hint="eastAsia" w:ascii="仿宋" w:hAnsi="仿宋" w:eastAsia="仿宋" w:cs="仿宋"/>
          <w:sz w:val="30"/>
          <w:szCs w:val="30"/>
          <w:lang w:eastAsia="zh-CN"/>
        </w:rPr>
        <w:t>阜阳工业经济学校</w:t>
      </w:r>
      <w:r>
        <w:rPr>
          <w:rFonts w:hint="eastAsia" w:ascii="仿宋" w:hAnsi="仿宋" w:eastAsia="仿宋" w:cs="仿宋"/>
          <w:sz w:val="30"/>
          <w:szCs w:val="30"/>
        </w:rPr>
        <w:t>以创建</w:t>
      </w:r>
      <w:r>
        <w:rPr>
          <w:rFonts w:hint="eastAsia" w:ascii="仿宋" w:hAnsi="仿宋" w:eastAsia="仿宋" w:cs="仿宋"/>
          <w:sz w:val="30"/>
          <w:szCs w:val="30"/>
          <w:lang w:eastAsia="zh-CN"/>
        </w:rPr>
        <w:t>安徽</w:t>
      </w:r>
      <w:r>
        <w:rPr>
          <w:rFonts w:hint="eastAsia" w:ascii="仿宋" w:hAnsi="仿宋" w:eastAsia="仿宋" w:cs="仿宋"/>
          <w:sz w:val="30"/>
          <w:szCs w:val="30"/>
        </w:rPr>
        <w:t>省高水平职业学校为契机，在上级政府、部门的指导和支持下，切实加强与</w:t>
      </w:r>
      <w:r>
        <w:rPr>
          <w:rFonts w:hint="eastAsia" w:ascii="仿宋" w:hAnsi="仿宋" w:eastAsia="仿宋" w:cs="仿宋"/>
          <w:sz w:val="30"/>
          <w:szCs w:val="30"/>
          <w:lang w:eastAsia="zh-CN"/>
        </w:rPr>
        <w:t>省内外</w:t>
      </w:r>
      <w:r>
        <w:rPr>
          <w:rFonts w:hint="eastAsia" w:ascii="仿宋" w:hAnsi="仿宋" w:eastAsia="仿宋" w:cs="仿宋"/>
          <w:sz w:val="30"/>
          <w:szCs w:val="30"/>
        </w:rPr>
        <w:t>企业合作，注重学校与企业资源共享、信息共享的“双赢”模式，注重人才培养的实用性与实效性，践行应社会所需、与市场接轨、和企业合作，理论与实践相结合的新理念，努力提高教育教学质量，促进了学校事业的可持续发展。</w:t>
      </w:r>
    </w:p>
    <w:p>
      <w:pPr>
        <w:pStyle w:val="14"/>
        <w:widowControl/>
        <w:numPr>
          <w:ilvl w:val="0"/>
          <w:numId w:val="0"/>
        </w:numPr>
        <w:shd w:val="clear" w:color="auto" w:fill="FFFFFF"/>
        <w:adjustRightInd w:val="0"/>
        <w:snapToGrid w:val="0"/>
        <w:spacing w:before="0" w:beforeAutospacing="0" w:after="0" w:afterAutospacing="0" w:line="360" w:lineRule="auto"/>
        <w:ind w:firstLine="600" w:firstLineChars="200"/>
        <w:outlineLvl w:val="9"/>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我校汽车运用与维修专业、会计专业、音乐（幼师）专业、计算机专业、数控专业、制冷专业等均建有2个以上稳定的校外实习基地。学校各专业均有3个以上稳定的校企合作单位。</w:t>
      </w:r>
    </w:p>
    <w:p>
      <w:pPr>
        <w:pStyle w:val="14"/>
        <w:widowControl/>
        <w:numPr>
          <w:ilvl w:val="0"/>
          <w:numId w:val="0"/>
        </w:numPr>
        <w:shd w:val="clear" w:color="auto" w:fill="FFFFFF"/>
        <w:adjustRightInd w:val="0"/>
        <w:snapToGrid w:val="0"/>
        <w:spacing w:before="0" w:beforeAutospacing="0" w:after="0" w:afterAutospacing="0" w:line="360" w:lineRule="auto"/>
        <w:ind w:firstLine="600" w:firstLineChars="200"/>
        <w:outlineLvl w:val="9"/>
        <w:rPr>
          <w:rFonts w:hint="eastAsia" w:ascii="仿宋" w:hAnsi="仿宋" w:eastAsia="仿宋" w:cs="仿宋"/>
          <w:spacing w:val="-1"/>
          <w:sz w:val="30"/>
          <w:szCs w:val="30"/>
          <w:lang w:eastAsia="zh-CN"/>
        </w:rPr>
      </w:pPr>
      <w:r>
        <w:rPr>
          <w:rFonts w:hint="eastAsia" w:ascii="仿宋" w:hAnsi="仿宋" w:eastAsia="仿宋" w:cs="仿宋"/>
          <w:b w:val="0"/>
          <w:bCs w:val="0"/>
          <w:sz w:val="30"/>
          <w:szCs w:val="30"/>
          <w:lang w:val="en-US" w:eastAsia="zh-CN"/>
        </w:rPr>
        <w:t>根据不同专业的特点，我校采取了不同的校企合作模式，例如数控技术应用专业利用校企合作搭建了“三级实践能力阶梯化培养平台”，第一级为基础技能平台，</w:t>
      </w:r>
      <w:r>
        <w:rPr>
          <w:rFonts w:hint="eastAsia" w:ascii="仿宋" w:hAnsi="仿宋" w:eastAsia="仿宋" w:cs="仿宋"/>
          <w:spacing w:val="-1"/>
          <w:sz w:val="30"/>
          <w:szCs w:val="30"/>
        </w:rPr>
        <w:t>夯实专业基础知识和基本技能</w:t>
      </w:r>
      <w:r>
        <w:rPr>
          <w:rFonts w:hint="eastAsia" w:ascii="仿宋" w:hAnsi="仿宋" w:eastAsia="仿宋" w:cs="仿宋"/>
          <w:spacing w:val="-1"/>
          <w:sz w:val="30"/>
          <w:szCs w:val="30"/>
          <w:lang w:eastAsia="zh-CN"/>
        </w:rPr>
        <w:t>；第二级为技能拔高平台，</w:t>
      </w:r>
      <w:r>
        <w:rPr>
          <w:rFonts w:hint="eastAsia" w:ascii="仿宋" w:hAnsi="仿宋" w:eastAsia="仿宋" w:cs="仿宋"/>
          <w:spacing w:val="-1"/>
          <w:sz w:val="30"/>
          <w:szCs w:val="30"/>
        </w:rPr>
        <w:t>实现现代化机械零部件设计与制造专向能力培养</w:t>
      </w:r>
      <w:r>
        <w:rPr>
          <w:rFonts w:hint="eastAsia" w:ascii="仿宋" w:hAnsi="仿宋" w:eastAsia="仿宋" w:cs="仿宋"/>
          <w:spacing w:val="-1"/>
          <w:sz w:val="30"/>
          <w:szCs w:val="30"/>
          <w:lang w:eastAsia="zh-CN"/>
        </w:rPr>
        <w:t>；第三极为拓展创新平台，</w:t>
      </w:r>
      <w:r>
        <w:rPr>
          <w:rFonts w:hint="eastAsia" w:ascii="仿宋" w:hAnsi="仿宋" w:eastAsia="仿宋" w:cs="仿宋"/>
          <w:spacing w:val="-1"/>
          <w:sz w:val="30"/>
          <w:szCs w:val="30"/>
        </w:rPr>
        <w:t>让学生亲历现代化特殊零部件的设计与制造过程，培养</w:t>
      </w:r>
      <w:r>
        <w:rPr>
          <w:rFonts w:hint="eastAsia" w:ascii="仿宋" w:hAnsi="仿宋" w:eastAsia="仿宋" w:cs="仿宋"/>
          <w:sz w:val="30"/>
          <w:szCs w:val="30"/>
        </w:rPr>
        <w:t>学生综合能力。</w:t>
      </w:r>
      <w:r>
        <w:rPr>
          <w:rFonts w:hint="eastAsia" w:ascii="仿宋" w:hAnsi="仿宋" w:eastAsia="仿宋" w:cs="仿宋"/>
          <w:sz w:val="30"/>
          <w:szCs w:val="30"/>
          <w:lang w:eastAsia="zh-CN"/>
        </w:rPr>
        <w:t>汽车运用与维修专业利用校企进行双元合作，</w:t>
      </w:r>
      <w:r>
        <w:rPr>
          <w:rFonts w:hint="eastAsia" w:ascii="仿宋" w:hAnsi="仿宋" w:eastAsia="仿宋" w:cs="仿宋"/>
          <w:sz w:val="30"/>
          <w:szCs w:val="30"/>
        </w:rPr>
        <w:t>借助开办“中德诺浩班”</w:t>
      </w:r>
      <w:r>
        <w:rPr>
          <w:rFonts w:hint="eastAsia" w:ascii="仿宋" w:hAnsi="仿宋" w:eastAsia="仿宋" w:cs="仿宋"/>
          <w:sz w:val="30"/>
          <w:szCs w:val="30"/>
          <w:lang w:eastAsia="zh-CN"/>
        </w:rPr>
        <w:t>，改革培养模式，培育国际化人才；</w:t>
      </w:r>
      <w:r>
        <w:rPr>
          <w:rFonts w:hint="eastAsia" w:ascii="仿宋" w:hAnsi="仿宋" w:eastAsia="仿宋" w:cs="仿宋"/>
          <w:sz w:val="30"/>
          <w:szCs w:val="30"/>
        </w:rPr>
        <w:t>全面引进先进的企业的汽车专业教育课程资源包</w:t>
      </w:r>
      <w:r>
        <w:rPr>
          <w:rFonts w:hint="eastAsia" w:ascii="仿宋" w:hAnsi="仿宋" w:eastAsia="仿宋" w:cs="仿宋"/>
          <w:sz w:val="30"/>
          <w:szCs w:val="30"/>
          <w:lang w:eastAsia="zh-CN"/>
        </w:rPr>
        <w:t>及教学理念，创新课程体系，改革教学模式。会计电算化专业利用合作企业</w:t>
      </w:r>
      <w:r>
        <w:rPr>
          <w:rFonts w:hint="eastAsia" w:ascii="仿宋" w:hAnsi="仿宋" w:eastAsia="仿宋" w:cs="仿宋"/>
          <w:color w:val="000000"/>
          <w:sz w:val="30"/>
          <w:szCs w:val="30"/>
        </w:rPr>
        <w:t>对专业建设</w:t>
      </w:r>
      <w:r>
        <w:rPr>
          <w:rFonts w:hint="eastAsia" w:ascii="仿宋" w:hAnsi="仿宋" w:eastAsia="仿宋" w:cs="仿宋"/>
          <w:color w:val="000000"/>
          <w:sz w:val="30"/>
          <w:szCs w:val="30"/>
          <w:lang w:eastAsia="zh-CN"/>
        </w:rPr>
        <w:t>进行</w:t>
      </w:r>
      <w:r>
        <w:rPr>
          <w:rFonts w:hint="eastAsia" w:ascii="仿宋" w:hAnsi="仿宋" w:eastAsia="仿宋" w:cs="仿宋"/>
          <w:color w:val="000000"/>
          <w:sz w:val="30"/>
          <w:szCs w:val="30"/>
        </w:rPr>
        <w:t>全程参与，让学校教育更贴合企业实际操作的需求，使学校的教学更具针对性和有效性</w:t>
      </w:r>
      <w:r>
        <w:rPr>
          <w:rFonts w:hint="eastAsia" w:ascii="仿宋" w:hAnsi="仿宋" w:eastAsia="仿宋" w:cs="仿宋"/>
          <w:color w:val="000000"/>
          <w:sz w:val="30"/>
          <w:szCs w:val="30"/>
          <w:lang w:eastAsia="zh-CN"/>
        </w:rPr>
        <w:t>，共建教学资源，共享教学成果。</w:t>
      </w:r>
    </w:p>
    <w:p>
      <w:pPr>
        <w:pStyle w:val="14"/>
        <w:widowControl/>
        <w:numPr>
          <w:ilvl w:val="0"/>
          <w:numId w:val="0"/>
        </w:numPr>
        <w:shd w:val="clear" w:color="auto" w:fill="FFFFFF"/>
        <w:adjustRightInd w:val="0"/>
        <w:snapToGrid w:val="0"/>
        <w:spacing w:before="0" w:beforeAutospacing="0" w:after="0" w:afterAutospacing="0" w:line="360" w:lineRule="auto"/>
        <w:ind w:firstLine="602" w:firstLineChars="200"/>
        <w:outlineLvl w:val="9"/>
        <w:rPr>
          <w:rFonts w:hint="eastAsia" w:ascii="仿宋" w:hAnsi="仿宋" w:eastAsia="仿宋" w:cs="仿宋"/>
          <w:b w:val="0"/>
          <w:bCs w:val="0"/>
          <w:sz w:val="30"/>
          <w:szCs w:val="30"/>
          <w:lang w:val="en-US" w:eastAsia="zh-CN"/>
        </w:rPr>
      </w:pPr>
      <w:r>
        <w:rPr>
          <w:rFonts w:hint="eastAsia" w:ascii="仿宋" w:hAnsi="仿宋" w:eastAsia="仿宋" w:cs="仿宋"/>
          <w:b/>
          <w:bCs/>
          <w:sz w:val="30"/>
          <w:szCs w:val="30"/>
          <w:lang w:eastAsia="zh-CN"/>
        </w:rPr>
        <w:t>二、成效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（一）校企合作典型案例、征文省级获奖（5件）</w:t>
      </w:r>
    </w:p>
    <w:p>
      <w:pPr>
        <w:pStyle w:val="52"/>
        <w:keepNext w:val="0"/>
        <w:keepLines w:val="0"/>
        <w:pageBreakBefore w:val="0"/>
        <w:widowControl w:val="0"/>
        <w:kinsoku/>
        <w:wordWrap/>
        <w:overflowPunct/>
        <w:topLinePunct w:val="0"/>
        <w:autoSpaceDE w:val="0"/>
        <w:autoSpaceDN w:val="0"/>
        <w:bidi w:val="0"/>
        <w:adjustRightInd w:val="0"/>
        <w:spacing w:before="0" w:after="0" w:line="360" w:lineRule="auto"/>
        <w:ind w:right="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（二）成果1：</w:t>
      </w:r>
      <w:r>
        <w:rPr>
          <w:rFonts w:hint="eastAsia" w:ascii="仿宋" w:hAnsi="仿宋" w:eastAsia="仿宋" w:cs="仿宋"/>
          <w:b w:val="0"/>
          <w:bCs w:val="0"/>
          <w:color w:val="000000"/>
          <w:spacing w:val="-6"/>
          <w:sz w:val="32"/>
          <w:szCs w:val="32"/>
          <w:lang w:val="en-US" w:eastAsia="zh-CN"/>
        </w:rPr>
        <w:t>《双元合作  共育良才----以汽车运用与维修专业为例》—</w:t>
      </w:r>
      <w:r>
        <w:rPr>
          <w:rFonts w:hint="eastAsia" w:ascii="仿宋" w:hAnsi="仿宋" w:eastAsia="仿宋" w:cs="仿宋"/>
          <w:color w:val="000000"/>
          <w:spacing w:val="-6"/>
          <w:kern w:val="2"/>
          <w:sz w:val="32"/>
          <w:szCs w:val="32"/>
          <w:lang w:val="zh-CN" w:eastAsia="zh-CN"/>
        </w:rPr>
        <w:t>学校借助开办“中德诺浩班”，创新培养模式，将德国先进的“双元制”本土化，培养我校汽车行业具有先进维修技术和先进服务理念的技能型人才；全面引进先进企业的汽车专业教育课程资源包，创新课程体系，改革教学模式，结合学校现有的实训设备设施，开发了16个教学资源模块，266个典型项目工作任务。取</w:t>
      </w:r>
      <w:r>
        <w:rPr>
          <w:rFonts w:hint="eastAsia" w:ascii="仿宋" w:hAnsi="仿宋" w:eastAsia="仿宋" w:cs="仿宋"/>
          <w:color w:val="000000"/>
          <w:spacing w:val="-6"/>
          <w:sz w:val="32"/>
          <w:szCs w:val="32"/>
          <w:lang w:val="zh-CN" w:eastAsia="zh-CN"/>
        </w:rPr>
        <w:t>得的成果在省内多所学校得到应用，取得了良好的社会效应。</w:t>
      </w:r>
    </w:p>
    <w:p>
      <w:pPr>
        <w:keepNext w:val="0"/>
        <w:keepLines w:val="0"/>
        <w:pageBreakBefore w:val="0"/>
        <w:kinsoku/>
        <w:wordWrap/>
        <w:overflowPunct/>
        <w:topLinePunct w:val="0"/>
        <w:bidi w:val="0"/>
        <w:spacing w:line="360" w:lineRule="auto"/>
        <w:ind w:right="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（三）成果2：</w:t>
      </w:r>
      <w:r>
        <w:rPr>
          <w:rFonts w:hint="eastAsia" w:ascii="仿宋" w:hAnsi="仿宋" w:eastAsia="仿宋" w:cs="仿宋"/>
          <w:b w:val="0"/>
          <w:bCs w:val="0"/>
          <w:color w:val="000000"/>
          <w:spacing w:val="-6"/>
          <w:sz w:val="32"/>
          <w:szCs w:val="32"/>
          <w:lang w:val="zh-CN"/>
        </w:rPr>
        <w:t>《校企合作由“一头热”到“两相许”的探索---以会计电算化专业校企合作为例》—</w:t>
      </w:r>
      <w:r>
        <w:rPr>
          <w:rFonts w:hint="eastAsia" w:ascii="仿宋" w:hAnsi="仿宋" w:eastAsia="仿宋" w:cs="仿宋"/>
          <w:color w:val="000000"/>
          <w:spacing w:val="-6"/>
          <w:sz w:val="32"/>
          <w:szCs w:val="32"/>
          <w:lang w:val="zh-CN"/>
        </w:rPr>
        <w:t>会计电算化专业利用校企合作企业对专业建设进行全程参与，让学校教育更贴合企业实际操作的需求，使学校的教学更具针对性和有效性，共建教学资源，共享教学成果。合作开发完成的《真账实做》图集、税务实训软件，首期运用到我校会计电算化专业20名教师和305名学生的实习实训中。先后为企业培养了24名技术骨干；6名我校及结对帮扶学校的青年教师在市级教科研比赛活动中获得荣誉表彰；并为皖北四市和阜阳五个县3区的财政干部、农村财会人员及企业财务人员共培训3646人次，取得了良好的社会效应。</w:t>
      </w:r>
    </w:p>
    <w:p>
      <w:pPr>
        <w:pStyle w:val="53"/>
        <w:keepNext w:val="0"/>
        <w:keepLines w:val="0"/>
        <w:pageBreakBefore w:val="0"/>
        <w:kinsoku/>
        <w:wordWrap/>
        <w:overflowPunct/>
        <w:topLinePunct w:val="0"/>
        <w:bidi w:val="0"/>
        <w:spacing w:beforeLines="0" w:line="360" w:lineRule="auto"/>
        <w:ind w:right="0" w:firstLine="618"/>
        <w:jc w:val="both"/>
        <w:textAlignment w:val="auto"/>
        <w:rPr>
          <w:spacing w:val="-6"/>
          <w:sz w:val="32"/>
          <w:szCs w:val="32"/>
        </w:rPr>
      </w:pPr>
      <w:r>
        <w:rPr>
          <w:rFonts w:hint="eastAsia" w:ascii="仿宋" w:hAnsi="仿宋" w:eastAsia="仿宋" w:cs="仿宋"/>
          <w:b w:val="0"/>
          <w:bCs w:val="0"/>
          <w:sz w:val="32"/>
          <w:szCs w:val="32"/>
          <w:lang w:val="en-US" w:eastAsia="zh-CN"/>
        </w:rPr>
        <w:t>（四）成果3：</w:t>
      </w:r>
      <w:r>
        <w:rPr>
          <w:rFonts w:hint="eastAsia" w:ascii="仿宋" w:hAnsi="仿宋" w:eastAsia="仿宋" w:cs="仿宋"/>
          <w:b w:val="0"/>
          <w:bCs w:val="0"/>
          <w:color w:val="000000"/>
          <w:spacing w:val="-6"/>
          <w:sz w:val="32"/>
          <w:szCs w:val="32"/>
          <w:lang w:val="zh-CN"/>
        </w:rPr>
        <w:t>《</w:t>
      </w:r>
      <w:r>
        <w:rPr>
          <w:rFonts w:hint="eastAsia" w:ascii="仿宋" w:hAnsi="仿宋" w:eastAsia="仿宋" w:cs="仿宋"/>
          <w:b w:val="0"/>
          <w:bCs w:val="0"/>
          <w:color w:val="000000"/>
          <w:spacing w:val="-6"/>
          <w:sz w:val="32"/>
          <w:szCs w:val="32"/>
        </w:rPr>
        <w:t>基于“校企合作三级实践能力阶梯化培养平台”的高技能人才培养模式创新与实践——以数控技术应用专业为例</w:t>
      </w:r>
      <w:r>
        <w:rPr>
          <w:rFonts w:hint="eastAsia" w:ascii="仿宋" w:hAnsi="仿宋" w:eastAsia="仿宋" w:cs="仿宋"/>
          <w:b w:val="0"/>
          <w:bCs w:val="0"/>
          <w:color w:val="000000"/>
          <w:spacing w:val="-6"/>
          <w:sz w:val="32"/>
          <w:szCs w:val="32"/>
          <w:lang w:val="zh-CN"/>
        </w:rPr>
        <w:t>》—</w:t>
      </w:r>
      <w:r>
        <w:rPr>
          <w:rFonts w:hint="eastAsia" w:ascii="仿宋" w:hAnsi="仿宋" w:eastAsia="仿宋" w:cs="仿宋"/>
          <w:color w:val="000000"/>
          <w:spacing w:val="-6"/>
          <w:kern w:val="2"/>
          <w:sz w:val="32"/>
          <w:szCs w:val="32"/>
        </w:rPr>
        <w:t>数控技术应用专业利用校企合作搭建了“三级实践能力阶梯化培养平台”，第一级为基础技能平台，</w:t>
      </w:r>
      <w:r>
        <w:rPr>
          <w:rFonts w:hint="eastAsia" w:ascii="仿宋" w:hAnsi="仿宋" w:eastAsia="仿宋" w:cs="仿宋"/>
          <w:color w:val="000000"/>
          <w:spacing w:val="-6"/>
          <w:kern w:val="2"/>
          <w:sz w:val="32"/>
          <w:szCs w:val="32"/>
          <w:lang w:val="zh-CN"/>
        </w:rPr>
        <w:t>夯实专业基础知识和基本技能；第二级为技能拔高平台，实现现代化机械零部件设计与制造专向能力培养；第三极为拓展创新平台，让学生亲历现代化特殊零部件的设计与制造过程，培养学生综合能力。该成果</w:t>
      </w:r>
      <w:r>
        <w:rPr>
          <w:rFonts w:hint="eastAsia" w:ascii="仿宋" w:hAnsi="仿宋" w:eastAsia="仿宋" w:cs="仿宋"/>
          <w:color w:val="000000"/>
          <w:spacing w:val="-6"/>
          <w:sz w:val="32"/>
          <w:szCs w:val="32"/>
          <w:lang w:val="zh-CN"/>
        </w:rPr>
        <w:t>获得</w:t>
      </w:r>
      <w:r>
        <w:rPr>
          <w:rFonts w:hint="eastAsia" w:ascii="仿宋" w:hAnsi="仿宋" w:eastAsia="仿宋" w:cs="仿宋"/>
          <w:color w:val="000000"/>
          <w:spacing w:val="-6"/>
          <w:sz w:val="32"/>
          <w:szCs w:val="32"/>
        </w:rPr>
        <w:t>2022年安徽省中等职业教育省级教学成果奖一等奖，</w:t>
      </w:r>
      <w:r>
        <w:rPr>
          <w:rFonts w:hint="eastAsia" w:ascii="仿宋" w:hAnsi="仿宋" w:eastAsia="仿宋" w:cs="仿宋"/>
          <w:color w:val="000000"/>
          <w:spacing w:val="-6"/>
          <w:sz w:val="32"/>
          <w:szCs w:val="32"/>
          <w:lang w:val="zh-CN"/>
        </w:rPr>
        <w:t>学生多次在省级、国家级大赛中获奖。</w:t>
      </w:r>
    </w:p>
    <w:p>
      <w:pPr>
        <w:spacing w:line="240" w:lineRule="atLeast"/>
        <w:ind w:firstLine="640" w:firstLineChars="200"/>
        <w:jc w:val="left"/>
        <w:outlineLvl w:val="1"/>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（五）校企合作成果丰硕，我校是安徽省首批校企合作典型学校，2022年成为</w:t>
      </w:r>
      <w:r>
        <w:rPr>
          <w:rFonts w:hint="eastAsia" w:ascii="仿宋" w:hAnsi="仿宋" w:eastAsia="仿宋" w:cs="仿宋"/>
          <w:b w:val="0"/>
          <w:bCs w:val="0"/>
          <w:color w:val="000000" w:themeColor="text1"/>
          <w:sz w:val="32"/>
          <w:szCs w:val="32"/>
        </w:rPr>
        <w:t>安徽省</w:t>
      </w:r>
      <w:r>
        <w:rPr>
          <w:rFonts w:hint="eastAsia" w:ascii="仿宋" w:hAnsi="仿宋" w:eastAsia="仿宋" w:cs="仿宋"/>
          <w:b w:val="0"/>
          <w:bCs w:val="0"/>
          <w:color w:val="000000" w:themeColor="text1"/>
          <w:sz w:val="32"/>
          <w:szCs w:val="32"/>
          <w:lang w:val="en-US" w:eastAsia="zh-CN"/>
        </w:rPr>
        <w:t>职业教育创新发展试验区—校企深度合作示范学校培育项目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20" w:firstLineChars="100"/>
        <w:textAlignment w:val="auto"/>
        <w:outlineLvl w:val="9"/>
        <w:rPr>
          <w:rFonts w:hint="default" w:ascii="仿宋" w:hAnsi="仿宋" w:eastAsia="仿宋" w:cs="仿宋"/>
          <w:b w:val="0"/>
          <w:bCs w:val="0"/>
          <w:sz w:val="32"/>
          <w:szCs w:val="32"/>
          <w:lang w:val="en-US" w:eastAsia="zh-CN"/>
        </w:rPr>
      </w:pPr>
    </w:p>
    <w:p>
      <w:pPr>
        <w:spacing w:line="240" w:lineRule="atLeast"/>
        <w:jc w:val="center"/>
        <w:outlineLvl w:val="1"/>
        <w:rPr>
          <w:rFonts w:hint="eastAsia" w:ascii="黑体" w:hAnsi="黑体" w:eastAsia="黑体" w:cs="黑体"/>
          <w:b/>
          <w:bCs/>
          <w:color w:val="000000" w:themeColor="text1"/>
          <w:sz w:val="28"/>
          <w:szCs w:val="28"/>
        </w:rPr>
      </w:pPr>
      <w:bookmarkStart w:id="3" w:name="_Toc11371"/>
      <w:r>
        <w:rPr>
          <w:rFonts w:hint="eastAsia" w:ascii="黑体" w:hAnsi="黑体" w:eastAsia="黑体" w:cs="黑体"/>
          <w:b/>
          <w:bCs/>
          <w:color w:val="000000" w:themeColor="text1"/>
          <w:sz w:val="28"/>
          <w:szCs w:val="28"/>
        </w:rPr>
        <w:t>我校为安徽省首批校企合作示范典型学校</w:t>
      </w:r>
      <w:bookmarkEnd w:id="3"/>
    </w:p>
    <w:p>
      <w:pPr>
        <w:spacing w:line="240" w:lineRule="atLeast"/>
        <w:jc w:val="center"/>
        <w:outlineLvl w:val="9"/>
        <w:rPr>
          <w:rFonts w:hint="eastAsia" w:ascii="黑体" w:hAnsi="黑体" w:eastAsia="黑体" w:cs="黑体"/>
          <w:b/>
          <w:bCs/>
          <w:sz w:val="32"/>
          <w:szCs w:val="32"/>
        </w:rPr>
      </w:pPr>
      <w:r>
        <w:rPr>
          <w:rFonts w:ascii="黑体" w:hAnsi="黑体" w:eastAsia="黑体" w:cs="黑体"/>
          <w:b/>
          <w:bCs/>
          <w:sz w:val="32"/>
          <w:szCs w:val="32"/>
        </w:rPr>
        <w:drawing>
          <wp:inline distT="0" distB="0" distL="114300" distR="114300">
            <wp:extent cx="5868670" cy="4420870"/>
            <wp:effectExtent l="0" t="0" r="17780" b="17780"/>
            <wp:docPr id="61" name="图片 1" descr="首批校企合作示范典型学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1" descr="首批校企合作示范典型学校"/>
                    <pic:cNvPicPr>
                      <a:picLocks noChangeAspect="1"/>
                    </pic:cNvPicPr>
                  </pic:nvPicPr>
                  <pic:blipFill>
                    <a:blip r:embed="rId6"/>
                    <a:stretch>
                      <a:fillRect/>
                    </a:stretch>
                  </pic:blipFill>
                  <pic:spPr>
                    <a:xfrm>
                      <a:off x="0" y="0"/>
                      <a:ext cx="5868670" cy="4420870"/>
                    </a:xfrm>
                    <a:prstGeom prst="rect">
                      <a:avLst/>
                    </a:prstGeom>
                    <a:noFill/>
                    <a:ln>
                      <a:noFill/>
                    </a:ln>
                  </pic:spPr>
                </pic:pic>
              </a:graphicData>
            </a:graphic>
          </wp:inline>
        </w:drawing>
      </w:r>
    </w:p>
    <w:p>
      <w:pPr>
        <w:widowControl/>
        <w:jc w:val="right"/>
        <w:outlineLvl w:val="9"/>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drawing>
          <wp:inline distT="0" distB="0" distL="114300" distR="114300">
            <wp:extent cx="5393690" cy="1021080"/>
            <wp:effectExtent l="0" t="0" r="16510" b="7620"/>
            <wp:docPr id="4" name="图片 4" descr="捕获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捕获4"/>
                    <pic:cNvPicPr>
                      <a:picLocks noChangeAspect="1"/>
                    </pic:cNvPicPr>
                  </pic:nvPicPr>
                  <pic:blipFill>
                    <a:blip r:embed="rId7"/>
                    <a:stretch>
                      <a:fillRect/>
                    </a:stretch>
                  </pic:blipFill>
                  <pic:spPr>
                    <a:xfrm>
                      <a:off x="0" y="0"/>
                      <a:ext cx="5393690" cy="1021080"/>
                    </a:xfrm>
                    <a:prstGeom prst="rect">
                      <a:avLst/>
                    </a:prstGeom>
                  </pic:spPr>
                </pic:pic>
              </a:graphicData>
            </a:graphic>
          </wp:inline>
        </w:drawing>
      </w:r>
    </w:p>
    <w:p>
      <w:pPr>
        <w:spacing w:line="240" w:lineRule="atLeast"/>
        <w:jc w:val="both"/>
        <w:outlineLvl w:val="1"/>
        <w:rPr>
          <w:rFonts w:hint="eastAsia" w:ascii="黑体" w:hAnsi="黑体" w:eastAsia="黑体" w:cs="黑体"/>
          <w:b/>
          <w:bCs/>
          <w:color w:val="000000" w:themeColor="text1"/>
          <w:sz w:val="28"/>
          <w:szCs w:val="28"/>
        </w:rPr>
      </w:pPr>
    </w:p>
    <w:p>
      <w:pPr>
        <w:spacing w:line="240" w:lineRule="atLeast"/>
        <w:jc w:val="center"/>
        <w:outlineLvl w:val="1"/>
        <w:rPr>
          <w:rFonts w:hint="eastAsia" w:ascii="黑体" w:hAnsi="黑体" w:eastAsia="黑体" w:cs="黑体"/>
          <w:b/>
          <w:bCs/>
          <w:color w:val="000000" w:themeColor="text1"/>
          <w:sz w:val="28"/>
          <w:szCs w:val="28"/>
          <w:lang w:val="en-US" w:eastAsia="zh-CN"/>
        </w:rPr>
      </w:pPr>
      <w:r>
        <w:rPr>
          <w:rFonts w:hint="eastAsia" w:ascii="黑体" w:hAnsi="黑体" w:eastAsia="黑体" w:cs="黑体"/>
          <w:b/>
          <w:bCs/>
          <w:color w:val="000000" w:themeColor="text1"/>
          <w:sz w:val="28"/>
          <w:szCs w:val="28"/>
        </w:rPr>
        <w:t>我校为安徽省</w:t>
      </w:r>
      <w:r>
        <w:rPr>
          <w:rFonts w:hint="eastAsia" w:ascii="黑体" w:hAnsi="黑体" w:eastAsia="黑体" w:cs="黑体"/>
          <w:b/>
          <w:bCs/>
          <w:color w:val="000000" w:themeColor="text1"/>
          <w:sz w:val="28"/>
          <w:szCs w:val="28"/>
          <w:lang w:val="en-US" w:eastAsia="zh-CN"/>
        </w:rPr>
        <w:t>职业教育创新发展试验区</w:t>
      </w:r>
    </w:p>
    <w:p>
      <w:pPr>
        <w:spacing w:line="240" w:lineRule="atLeast"/>
        <w:jc w:val="center"/>
        <w:outlineLvl w:val="1"/>
        <w:rPr>
          <w:rFonts w:hint="default" w:ascii="黑体" w:hAnsi="黑体" w:eastAsia="黑体" w:cs="黑体"/>
          <w:b/>
          <w:bCs/>
          <w:sz w:val="32"/>
          <w:szCs w:val="32"/>
          <w:lang w:val="en-US" w:eastAsia="zh-CN"/>
        </w:rPr>
      </w:pPr>
      <w:r>
        <w:rPr>
          <w:rFonts w:hint="eastAsia" w:ascii="黑体" w:hAnsi="黑体" w:eastAsia="黑体" w:cs="黑体"/>
          <w:b/>
          <w:bCs/>
          <w:color w:val="000000" w:themeColor="text1"/>
          <w:sz w:val="28"/>
          <w:szCs w:val="28"/>
          <w:lang w:val="en-US" w:eastAsia="zh-CN"/>
        </w:rPr>
        <w:t>—校企深度合作示范学校培育项目</w:t>
      </w:r>
    </w:p>
    <w:p>
      <w:pPr>
        <w:rPr>
          <w:rFonts w:hint="eastAsia"/>
          <w:lang w:val="en-US" w:eastAsia="zh-CN"/>
        </w:rPr>
      </w:pPr>
      <w:r>
        <w:rPr>
          <w:rFonts w:hint="eastAsia"/>
          <w:lang w:val="en-US" w:eastAsia="zh-CN"/>
        </w:rPr>
        <w:drawing>
          <wp:inline distT="0" distB="0" distL="114300" distR="114300">
            <wp:extent cx="5269865" cy="3107055"/>
            <wp:effectExtent l="0" t="0" r="6985" b="17145"/>
            <wp:docPr id="1" name="图片 1" descr="捕获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捕获1"/>
                    <pic:cNvPicPr>
                      <a:picLocks noChangeAspect="1"/>
                    </pic:cNvPicPr>
                  </pic:nvPicPr>
                  <pic:blipFill>
                    <a:blip r:embed="rId8"/>
                    <a:stretch>
                      <a:fillRect/>
                    </a:stretch>
                  </pic:blipFill>
                  <pic:spPr>
                    <a:xfrm>
                      <a:off x="0" y="0"/>
                      <a:ext cx="5269865" cy="3107055"/>
                    </a:xfrm>
                    <a:prstGeom prst="rect">
                      <a:avLst/>
                    </a:prstGeom>
                  </pic:spPr>
                </pic:pic>
              </a:graphicData>
            </a:graphic>
          </wp:inline>
        </w:drawing>
      </w:r>
      <w:r>
        <w:rPr>
          <w:rFonts w:hint="eastAsia"/>
          <w:lang w:val="en-US" w:eastAsia="zh-CN"/>
        </w:rPr>
        <w:drawing>
          <wp:inline distT="0" distB="0" distL="114300" distR="114300">
            <wp:extent cx="5273675" cy="1593215"/>
            <wp:effectExtent l="0" t="0" r="3175" b="6985"/>
            <wp:docPr id="2" name="图片 2" descr="捕获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捕获2"/>
                    <pic:cNvPicPr>
                      <a:picLocks noChangeAspect="1"/>
                    </pic:cNvPicPr>
                  </pic:nvPicPr>
                  <pic:blipFill>
                    <a:blip r:embed="rId9"/>
                    <a:stretch>
                      <a:fillRect/>
                    </a:stretch>
                  </pic:blipFill>
                  <pic:spPr>
                    <a:xfrm>
                      <a:off x="0" y="0"/>
                      <a:ext cx="5273675" cy="1593215"/>
                    </a:xfrm>
                    <a:prstGeom prst="rect">
                      <a:avLst/>
                    </a:prstGeom>
                  </pic:spPr>
                </pic:pic>
              </a:graphicData>
            </a:graphic>
          </wp:inline>
        </w:drawing>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Malgun Gothic">
    <w:panose1 w:val="020B0503020000020004"/>
    <w:charset w:val="81"/>
    <w:family w:val="auto"/>
    <w:pitch w:val="default"/>
    <w:sig w:usb0="900002AF" w:usb1="01D77CFB" w:usb2="00000012" w:usb3="00000000" w:csb0="00080001" w:csb1="00000000"/>
  </w:font>
  <w:font w:name="Arial Unicode MS">
    <w:altName w:val="Arial"/>
    <w:panose1 w:val="020B0604020202020204"/>
    <w:charset w:val="82"/>
    <w:family w:val="swiss"/>
    <w:pitch w:val="default"/>
    <w:sig w:usb0="00000000" w:usb1="00000000" w:usb2="0000003F" w:usb3="00000000" w:csb0="603F01FF" w:csb1="FFFF0000"/>
  </w:font>
  <w:font w:name="微软雅黑">
    <w:panose1 w:val="020B0503020204020204"/>
    <w:charset w:val="82"/>
    <w:family w:val="swiss"/>
    <w:pitch w:val="default"/>
    <w:sig w:usb0="80000287" w:usb1="280F3C52"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34"/>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AE0C8A"/>
    <w:multiLevelType w:val="singleLevel"/>
    <w:tmpl w:val="9DAE0C8A"/>
    <w:lvl w:ilvl="0" w:tentative="0">
      <w:start w:val="1"/>
      <w:numFmt w:val="decimal"/>
      <w:suff w:val="nothing"/>
      <w:lvlText w:val="（%1）"/>
      <w:lvlJc w:val="left"/>
    </w:lvl>
  </w:abstractNum>
  <w:abstractNum w:abstractNumId="1">
    <w:nsid w:val="AB615B21"/>
    <w:multiLevelType w:val="singleLevel"/>
    <w:tmpl w:val="AB615B21"/>
    <w:lvl w:ilvl="0" w:tentative="0">
      <w:start w:val="1"/>
      <w:numFmt w:val="chineseCounting"/>
      <w:suff w:val="nothing"/>
      <w:lvlText w:val="%1、"/>
      <w:lvlJc w:val="left"/>
      <w:rPr>
        <w:rFonts w:hint="eastAsia"/>
      </w:rPr>
    </w:lvl>
  </w:abstractNum>
  <w:abstractNum w:abstractNumId="2">
    <w:nsid w:val="AC79B084"/>
    <w:multiLevelType w:val="singleLevel"/>
    <w:tmpl w:val="AC79B084"/>
    <w:lvl w:ilvl="0" w:tentative="0">
      <w:start w:val="1"/>
      <w:numFmt w:val="chineseCounting"/>
      <w:suff w:val="nothing"/>
      <w:lvlText w:val="（%1）"/>
      <w:lvlJc w:val="left"/>
      <w:rPr>
        <w:rFonts w:hint="eastAsia"/>
      </w:rPr>
    </w:lvl>
  </w:abstractNum>
  <w:abstractNum w:abstractNumId="3">
    <w:nsid w:val="E0F4E59E"/>
    <w:multiLevelType w:val="singleLevel"/>
    <w:tmpl w:val="E0F4E59E"/>
    <w:lvl w:ilvl="0" w:tentative="0">
      <w:start w:val="1"/>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GY5MmRhZWRmNzQyNWY1ODk3ZGZiMDFmNTZiMjk2Y2YifQ=="/>
  </w:docVars>
  <w:rsids>
    <w:rsidRoot w:val="00000000"/>
    <w:rsid w:val="00861DAB"/>
    <w:rsid w:val="00EF7950"/>
    <w:rsid w:val="00F66185"/>
    <w:rsid w:val="010F1DA1"/>
    <w:rsid w:val="01AF5332"/>
    <w:rsid w:val="01B41F6D"/>
    <w:rsid w:val="02070FF7"/>
    <w:rsid w:val="0371577B"/>
    <w:rsid w:val="03A74512"/>
    <w:rsid w:val="040211AE"/>
    <w:rsid w:val="04161179"/>
    <w:rsid w:val="042B0D08"/>
    <w:rsid w:val="04A3056D"/>
    <w:rsid w:val="04B95A2E"/>
    <w:rsid w:val="04F762CB"/>
    <w:rsid w:val="054A1BBD"/>
    <w:rsid w:val="054E05CF"/>
    <w:rsid w:val="060E46A8"/>
    <w:rsid w:val="061F2A86"/>
    <w:rsid w:val="06653889"/>
    <w:rsid w:val="068B0867"/>
    <w:rsid w:val="06921407"/>
    <w:rsid w:val="06B10D93"/>
    <w:rsid w:val="07F728DC"/>
    <w:rsid w:val="08054AED"/>
    <w:rsid w:val="086F5EE4"/>
    <w:rsid w:val="08763713"/>
    <w:rsid w:val="089F239B"/>
    <w:rsid w:val="0939773D"/>
    <w:rsid w:val="0A3C1BB2"/>
    <w:rsid w:val="0A4F36E4"/>
    <w:rsid w:val="0AAA3AF0"/>
    <w:rsid w:val="0AB562EC"/>
    <w:rsid w:val="0BC1638D"/>
    <w:rsid w:val="0BD22349"/>
    <w:rsid w:val="0C5E1B75"/>
    <w:rsid w:val="0D8A3740"/>
    <w:rsid w:val="0DA43BEC"/>
    <w:rsid w:val="0E3F0951"/>
    <w:rsid w:val="0EC12BD7"/>
    <w:rsid w:val="0FD923B7"/>
    <w:rsid w:val="0FE53B75"/>
    <w:rsid w:val="0FEB311C"/>
    <w:rsid w:val="10664BD2"/>
    <w:rsid w:val="108C7444"/>
    <w:rsid w:val="10C5247C"/>
    <w:rsid w:val="11303813"/>
    <w:rsid w:val="11474213"/>
    <w:rsid w:val="11840FF3"/>
    <w:rsid w:val="11E83245"/>
    <w:rsid w:val="124D476A"/>
    <w:rsid w:val="124E524D"/>
    <w:rsid w:val="12C043E9"/>
    <w:rsid w:val="132D4320"/>
    <w:rsid w:val="136A73C9"/>
    <w:rsid w:val="13A72281"/>
    <w:rsid w:val="149C18CD"/>
    <w:rsid w:val="14E505A4"/>
    <w:rsid w:val="164976A9"/>
    <w:rsid w:val="16C41579"/>
    <w:rsid w:val="17DC684E"/>
    <w:rsid w:val="18CA02D9"/>
    <w:rsid w:val="19CD7E2B"/>
    <w:rsid w:val="1A0A3C26"/>
    <w:rsid w:val="1B4147AE"/>
    <w:rsid w:val="1BF7707F"/>
    <w:rsid w:val="1C7902D5"/>
    <w:rsid w:val="1C896A53"/>
    <w:rsid w:val="1CFA16FF"/>
    <w:rsid w:val="1D1E227F"/>
    <w:rsid w:val="1D2B5743"/>
    <w:rsid w:val="1D3045F3"/>
    <w:rsid w:val="1D4D65D3"/>
    <w:rsid w:val="1DCA58AB"/>
    <w:rsid w:val="1E0F2F88"/>
    <w:rsid w:val="1E1E1D0E"/>
    <w:rsid w:val="1EA31F7C"/>
    <w:rsid w:val="1ECE0FC9"/>
    <w:rsid w:val="1F2E0FD0"/>
    <w:rsid w:val="1F6F2E14"/>
    <w:rsid w:val="1FAF6654"/>
    <w:rsid w:val="20550D8B"/>
    <w:rsid w:val="212214E5"/>
    <w:rsid w:val="21AB121A"/>
    <w:rsid w:val="222023B7"/>
    <w:rsid w:val="22A74534"/>
    <w:rsid w:val="22CF34F0"/>
    <w:rsid w:val="23075E1C"/>
    <w:rsid w:val="233D5EA2"/>
    <w:rsid w:val="237107C1"/>
    <w:rsid w:val="238517F6"/>
    <w:rsid w:val="239A7798"/>
    <w:rsid w:val="23EB6599"/>
    <w:rsid w:val="243C4163"/>
    <w:rsid w:val="2489234B"/>
    <w:rsid w:val="252A46CB"/>
    <w:rsid w:val="26012EC6"/>
    <w:rsid w:val="264439EB"/>
    <w:rsid w:val="265A5DE3"/>
    <w:rsid w:val="266F6427"/>
    <w:rsid w:val="276079BF"/>
    <w:rsid w:val="27802801"/>
    <w:rsid w:val="288E2F79"/>
    <w:rsid w:val="28A90645"/>
    <w:rsid w:val="292C57DC"/>
    <w:rsid w:val="29F03F0D"/>
    <w:rsid w:val="29F50D4C"/>
    <w:rsid w:val="29FE49F4"/>
    <w:rsid w:val="2A2E39EF"/>
    <w:rsid w:val="2A802A20"/>
    <w:rsid w:val="2ADE0523"/>
    <w:rsid w:val="2B73427F"/>
    <w:rsid w:val="2BA54F2C"/>
    <w:rsid w:val="2CCA5B2A"/>
    <w:rsid w:val="2E141EF5"/>
    <w:rsid w:val="2F627784"/>
    <w:rsid w:val="3075024B"/>
    <w:rsid w:val="30DB4814"/>
    <w:rsid w:val="317A6411"/>
    <w:rsid w:val="31BC7510"/>
    <w:rsid w:val="31E50C31"/>
    <w:rsid w:val="31EB6695"/>
    <w:rsid w:val="326D293A"/>
    <w:rsid w:val="33097E25"/>
    <w:rsid w:val="336D632F"/>
    <w:rsid w:val="342E27BF"/>
    <w:rsid w:val="343E5D18"/>
    <w:rsid w:val="34733148"/>
    <w:rsid w:val="34A52C92"/>
    <w:rsid w:val="34D95676"/>
    <w:rsid w:val="34EA5027"/>
    <w:rsid w:val="35080566"/>
    <w:rsid w:val="35D17A6C"/>
    <w:rsid w:val="35D616E7"/>
    <w:rsid w:val="36F213D7"/>
    <w:rsid w:val="3704562D"/>
    <w:rsid w:val="37313B18"/>
    <w:rsid w:val="374970B3"/>
    <w:rsid w:val="377D6D5D"/>
    <w:rsid w:val="378400EB"/>
    <w:rsid w:val="37A61D09"/>
    <w:rsid w:val="37CF76F0"/>
    <w:rsid w:val="38011685"/>
    <w:rsid w:val="3851649C"/>
    <w:rsid w:val="38D75279"/>
    <w:rsid w:val="39BA01FF"/>
    <w:rsid w:val="3A497E04"/>
    <w:rsid w:val="3B0752BB"/>
    <w:rsid w:val="3B3B6F35"/>
    <w:rsid w:val="3BA66EBF"/>
    <w:rsid w:val="3C6A273B"/>
    <w:rsid w:val="3C7C75E3"/>
    <w:rsid w:val="3CC46D7B"/>
    <w:rsid w:val="3CE21838"/>
    <w:rsid w:val="3D035E73"/>
    <w:rsid w:val="3DC26CA0"/>
    <w:rsid w:val="3E6D1D73"/>
    <w:rsid w:val="3E740ECA"/>
    <w:rsid w:val="3EE75CED"/>
    <w:rsid w:val="3F781F9D"/>
    <w:rsid w:val="3F7E267B"/>
    <w:rsid w:val="3F886DFC"/>
    <w:rsid w:val="3FAB5C3D"/>
    <w:rsid w:val="3FFE5532"/>
    <w:rsid w:val="406E13CC"/>
    <w:rsid w:val="4081166C"/>
    <w:rsid w:val="40C63523"/>
    <w:rsid w:val="411A155B"/>
    <w:rsid w:val="41221933"/>
    <w:rsid w:val="417E3F95"/>
    <w:rsid w:val="41850C8C"/>
    <w:rsid w:val="4213333A"/>
    <w:rsid w:val="43725961"/>
    <w:rsid w:val="439374F9"/>
    <w:rsid w:val="43AF029E"/>
    <w:rsid w:val="43BF1615"/>
    <w:rsid w:val="442A7933"/>
    <w:rsid w:val="44685C53"/>
    <w:rsid w:val="4484257D"/>
    <w:rsid w:val="448605E9"/>
    <w:rsid w:val="448B52DF"/>
    <w:rsid w:val="44AA2B89"/>
    <w:rsid w:val="44BF67CE"/>
    <w:rsid w:val="44EE129A"/>
    <w:rsid w:val="453715AA"/>
    <w:rsid w:val="456F67C7"/>
    <w:rsid w:val="45877786"/>
    <w:rsid w:val="45B868CB"/>
    <w:rsid w:val="46E55351"/>
    <w:rsid w:val="47150D60"/>
    <w:rsid w:val="474C1F2C"/>
    <w:rsid w:val="475117B1"/>
    <w:rsid w:val="47B75973"/>
    <w:rsid w:val="47ED0FED"/>
    <w:rsid w:val="485E04E5"/>
    <w:rsid w:val="489337B9"/>
    <w:rsid w:val="48E62120"/>
    <w:rsid w:val="49C13B9A"/>
    <w:rsid w:val="49E62B9D"/>
    <w:rsid w:val="4A140CB3"/>
    <w:rsid w:val="4A601D2D"/>
    <w:rsid w:val="4B7D1B37"/>
    <w:rsid w:val="4BDC009E"/>
    <w:rsid w:val="4BFC35A9"/>
    <w:rsid w:val="4C2F4672"/>
    <w:rsid w:val="4CC2260E"/>
    <w:rsid w:val="4CDA6567"/>
    <w:rsid w:val="4D2F2079"/>
    <w:rsid w:val="4DFF7EB9"/>
    <w:rsid w:val="4E985E92"/>
    <w:rsid w:val="4EB23FF8"/>
    <w:rsid w:val="4EB32FE9"/>
    <w:rsid w:val="4EBB080C"/>
    <w:rsid w:val="4FF4313C"/>
    <w:rsid w:val="50A56850"/>
    <w:rsid w:val="511562C5"/>
    <w:rsid w:val="51465321"/>
    <w:rsid w:val="516F4272"/>
    <w:rsid w:val="51AC474E"/>
    <w:rsid w:val="51CB62DE"/>
    <w:rsid w:val="52EB01A6"/>
    <w:rsid w:val="52EF6909"/>
    <w:rsid w:val="537E733E"/>
    <w:rsid w:val="539F3C9C"/>
    <w:rsid w:val="55116CA5"/>
    <w:rsid w:val="55677181"/>
    <w:rsid w:val="55EB1E6D"/>
    <w:rsid w:val="56101070"/>
    <w:rsid w:val="572C2D3C"/>
    <w:rsid w:val="574102AB"/>
    <w:rsid w:val="575D6D01"/>
    <w:rsid w:val="577E22CF"/>
    <w:rsid w:val="57872B43"/>
    <w:rsid w:val="57D34E14"/>
    <w:rsid w:val="59142C25"/>
    <w:rsid w:val="59203927"/>
    <w:rsid w:val="598E6019"/>
    <w:rsid w:val="5B595267"/>
    <w:rsid w:val="5BA109BC"/>
    <w:rsid w:val="5BEF1FE5"/>
    <w:rsid w:val="5BF2204F"/>
    <w:rsid w:val="5C2C06C7"/>
    <w:rsid w:val="5CD362FC"/>
    <w:rsid w:val="5CDC52D1"/>
    <w:rsid w:val="5D2210AD"/>
    <w:rsid w:val="5D37392B"/>
    <w:rsid w:val="5DA14CA4"/>
    <w:rsid w:val="5ED54C05"/>
    <w:rsid w:val="5F123C50"/>
    <w:rsid w:val="5F3959B7"/>
    <w:rsid w:val="5F9A391C"/>
    <w:rsid w:val="6144500B"/>
    <w:rsid w:val="614C600C"/>
    <w:rsid w:val="61573FF7"/>
    <w:rsid w:val="61677FB2"/>
    <w:rsid w:val="62031967"/>
    <w:rsid w:val="621974FF"/>
    <w:rsid w:val="623518FF"/>
    <w:rsid w:val="625A448F"/>
    <w:rsid w:val="62A27BEC"/>
    <w:rsid w:val="63C6707A"/>
    <w:rsid w:val="63CD67F3"/>
    <w:rsid w:val="64143877"/>
    <w:rsid w:val="646D768E"/>
    <w:rsid w:val="64C517FC"/>
    <w:rsid w:val="656B2FF4"/>
    <w:rsid w:val="65B14E8B"/>
    <w:rsid w:val="65D31F14"/>
    <w:rsid w:val="6607520C"/>
    <w:rsid w:val="6610416E"/>
    <w:rsid w:val="67CC02A4"/>
    <w:rsid w:val="686A3EA0"/>
    <w:rsid w:val="69D4220C"/>
    <w:rsid w:val="6ACB38A8"/>
    <w:rsid w:val="6B4C78AB"/>
    <w:rsid w:val="6B6F63E1"/>
    <w:rsid w:val="6BBC403B"/>
    <w:rsid w:val="6BF477E0"/>
    <w:rsid w:val="6C144384"/>
    <w:rsid w:val="6CCB2F33"/>
    <w:rsid w:val="6D0E3405"/>
    <w:rsid w:val="6D156EF6"/>
    <w:rsid w:val="6D6D4BA2"/>
    <w:rsid w:val="6DB05148"/>
    <w:rsid w:val="6DC82D7C"/>
    <w:rsid w:val="6DCF7A58"/>
    <w:rsid w:val="6DE31354"/>
    <w:rsid w:val="6E0C3E04"/>
    <w:rsid w:val="6E142EDF"/>
    <w:rsid w:val="6E414065"/>
    <w:rsid w:val="6F0D6EF6"/>
    <w:rsid w:val="6F196A12"/>
    <w:rsid w:val="6F962D80"/>
    <w:rsid w:val="707263E0"/>
    <w:rsid w:val="70AB5949"/>
    <w:rsid w:val="70FC07A4"/>
    <w:rsid w:val="7152137D"/>
    <w:rsid w:val="71826552"/>
    <w:rsid w:val="71C16AAB"/>
    <w:rsid w:val="71F43210"/>
    <w:rsid w:val="72667F6C"/>
    <w:rsid w:val="72907BE9"/>
    <w:rsid w:val="72D54D7C"/>
    <w:rsid w:val="73C34D67"/>
    <w:rsid w:val="73DD7236"/>
    <w:rsid w:val="73F915E9"/>
    <w:rsid w:val="746F4C86"/>
    <w:rsid w:val="74BD46BE"/>
    <w:rsid w:val="74C83AF0"/>
    <w:rsid w:val="75272A59"/>
    <w:rsid w:val="752A091E"/>
    <w:rsid w:val="755754B0"/>
    <w:rsid w:val="756036A9"/>
    <w:rsid w:val="75FB65A1"/>
    <w:rsid w:val="76574E6E"/>
    <w:rsid w:val="76FB755F"/>
    <w:rsid w:val="77867BC8"/>
    <w:rsid w:val="77EC4583"/>
    <w:rsid w:val="781632E3"/>
    <w:rsid w:val="78777E4D"/>
    <w:rsid w:val="78864B7C"/>
    <w:rsid w:val="78CF35B1"/>
    <w:rsid w:val="79B04CB9"/>
    <w:rsid w:val="79C85455"/>
    <w:rsid w:val="7A895EC1"/>
    <w:rsid w:val="7A8D6436"/>
    <w:rsid w:val="7A9833BD"/>
    <w:rsid w:val="7B5C4512"/>
    <w:rsid w:val="7C36703F"/>
    <w:rsid w:val="7C74060F"/>
    <w:rsid w:val="7C975798"/>
    <w:rsid w:val="7D8851BF"/>
    <w:rsid w:val="7E9A5D16"/>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9" w:semiHidden="0" w:name="heading 3"/>
    <w:lsdException w:qFormat="1" w:uiPriority="1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28" w:semiHidden="0" w:name="toc 1"/>
    <w:lsdException w:qFormat="1" w:unhideWhenUsed="0" w:uiPriority="29" w:semiHidden="0" w:name="toc 2"/>
    <w:lsdException w:qFormat="1" w:unhideWhenUsed="0" w:uiPriority="3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4" w:semiHidden="0" w:name="header"/>
    <w:lsdException w:qFormat="1" w:unhideWhenUsed="0" w:uiPriority="153"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2"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151"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157" w:semiHidden="0" w:name="Hyperlink"/>
    <w:lsdException w:qFormat="1" w:unhideWhenUsed="0" w:uiPriority="156" w:semiHidden="0" w:name="FollowedHyperlink"/>
    <w:lsdException w:qFormat="1" w:unhideWhenUsed="0" w:uiPriority="2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155"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152"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jc w:val="both"/>
    </w:pPr>
    <w:rPr>
      <w:rFonts w:ascii="Calibri" w:hAnsi="Calibri" w:eastAsia="宋体" w:cs="Times New Roman"/>
      <w:sz w:val="21"/>
      <w:szCs w:val="21"/>
      <w:lang w:val="en-US" w:eastAsia="zh-CN" w:bidi="ar-SA"/>
    </w:rPr>
  </w:style>
  <w:style w:type="paragraph" w:styleId="3">
    <w:name w:val="heading 1"/>
    <w:basedOn w:val="1"/>
    <w:next w:val="1"/>
    <w:link w:val="36"/>
    <w:qFormat/>
    <w:uiPriority w:val="7"/>
    <w:pPr>
      <w:spacing w:before="340" w:after="330" w:line="578" w:lineRule="auto"/>
      <w:outlineLvl w:val="0"/>
    </w:pPr>
    <w:rPr>
      <w:b/>
      <w:sz w:val="44"/>
      <w:szCs w:val="44"/>
    </w:rPr>
  </w:style>
  <w:style w:type="paragraph" w:styleId="2">
    <w:name w:val="heading 2"/>
    <w:basedOn w:val="1"/>
    <w:next w:val="1"/>
    <w:link w:val="37"/>
    <w:unhideWhenUsed/>
    <w:qFormat/>
    <w:uiPriority w:val="8"/>
    <w:pPr>
      <w:spacing w:before="260" w:after="260" w:line="415" w:lineRule="auto"/>
      <w:outlineLvl w:val="1"/>
    </w:pPr>
    <w:rPr>
      <w:rFonts w:asciiTheme="majorHAnsi" w:hAnsiTheme="majorHAnsi" w:eastAsiaTheme="majorEastAsia" w:cstheme="minorBidi"/>
      <w:b/>
      <w:sz w:val="32"/>
      <w:szCs w:val="32"/>
    </w:rPr>
  </w:style>
  <w:style w:type="paragraph" w:styleId="4">
    <w:name w:val="heading 3"/>
    <w:basedOn w:val="1"/>
    <w:next w:val="1"/>
    <w:link w:val="38"/>
    <w:unhideWhenUsed/>
    <w:qFormat/>
    <w:uiPriority w:val="9"/>
    <w:pPr>
      <w:spacing w:before="260" w:after="260" w:line="415" w:lineRule="auto"/>
      <w:outlineLvl w:val="2"/>
    </w:pPr>
    <w:rPr>
      <w:b/>
      <w:sz w:val="32"/>
      <w:szCs w:val="32"/>
    </w:rPr>
  </w:style>
  <w:style w:type="paragraph" w:styleId="5">
    <w:name w:val="heading 4"/>
    <w:basedOn w:val="1"/>
    <w:next w:val="1"/>
    <w:link w:val="39"/>
    <w:unhideWhenUsed/>
    <w:qFormat/>
    <w:uiPriority w:val="10"/>
    <w:pPr>
      <w:spacing w:before="280" w:after="290" w:line="376" w:lineRule="auto"/>
      <w:outlineLvl w:val="3"/>
    </w:pPr>
    <w:rPr>
      <w:rFonts w:asciiTheme="majorHAnsi" w:hAnsiTheme="majorHAnsi" w:eastAsiaTheme="majorEastAsia" w:cstheme="minorBidi"/>
      <w:b/>
      <w:sz w:val="28"/>
      <w:szCs w:val="28"/>
    </w:rPr>
  </w:style>
  <w:style w:type="character" w:default="1" w:styleId="17">
    <w:name w:val="Default Paragraph Font"/>
    <w:semiHidden/>
    <w:unhideWhenUsed/>
    <w:qFormat/>
    <w:uiPriority w:val="2"/>
  </w:style>
  <w:style w:type="table" w:default="1" w:styleId="15">
    <w:name w:val="Normal Table"/>
    <w:semiHidden/>
    <w:unhideWhenUsed/>
    <w:qFormat/>
    <w:uiPriority w:val="3"/>
    <w:tblPr>
      <w:tblCellMar>
        <w:top w:w="0" w:type="dxa"/>
        <w:left w:w="108" w:type="dxa"/>
        <w:bottom w:w="0" w:type="dxa"/>
        <w:right w:w="108" w:type="dxa"/>
      </w:tblCellMar>
    </w:tblPr>
  </w:style>
  <w:style w:type="paragraph" w:styleId="6">
    <w:name w:val="Body Text"/>
    <w:basedOn w:val="1"/>
    <w:qFormat/>
    <w:uiPriority w:val="1"/>
    <w:rPr>
      <w:sz w:val="32"/>
      <w:szCs w:val="32"/>
    </w:rPr>
  </w:style>
  <w:style w:type="paragraph" w:styleId="7">
    <w:name w:val="toc 3"/>
    <w:basedOn w:val="1"/>
    <w:next w:val="1"/>
    <w:qFormat/>
    <w:uiPriority w:val="30"/>
    <w:pPr>
      <w:ind w:left="840" w:leftChars="840" w:firstLine="0"/>
    </w:pPr>
  </w:style>
  <w:style w:type="paragraph" w:styleId="8">
    <w:name w:val="Date"/>
    <w:basedOn w:val="1"/>
    <w:next w:val="1"/>
    <w:link w:val="35"/>
    <w:qFormat/>
    <w:uiPriority w:val="151"/>
    <w:pPr>
      <w:ind w:left="100" w:leftChars="100" w:firstLine="0"/>
    </w:pPr>
  </w:style>
  <w:style w:type="paragraph" w:styleId="9">
    <w:name w:val="Balloon Text"/>
    <w:basedOn w:val="1"/>
    <w:link w:val="34"/>
    <w:qFormat/>
    <w:uiPriority w:val="152"/>
    <w:rPr>
      <w:sz w:val="18"/>
      <w:szCs w:val="18"/>
    </w:rPr>
  </w:style>
  <w:style w:type="paragraph" w:styleId="10">
    <w:name w:val="footer"/>
    <w:basedOn w:val="1"/>
    <w:link w:val="28"/>
    <w:qFormat/>
    <w:uiPriority w:val="153"/>
    <w:pPr>
      <w:tabs>
        <w:tab w:val="center" w:pos="4153"/>
        <w:tab w:val="right" w:pos="8306"/>
      </w:tabs>
      <w:snapToGrid w:val="0"/>
    </w:pPr>
    <w:rPr>
      <w:rFonts w:ascii="Arial Unicode MS" w:hAnsi="Arial Unicode MS" w:eastAsia="微软雅黑"/>
      <w:sz w:val="18"/>
      <w:szCs w:val="18"/>
    </w:rPr>
  </w:style>
  <w:style w:type="paragraph" w:styleId="11">
    <w:name w:val="header"/>
    <w:basedOn w:val="1"/>
    <w:link w:val="27"/>
    <w:qFormat/>
    <w:uiPriority w:val="154"/>
    <w:pPr>
      <w:pBdr>
        <w:bottom w:val="single" w:color="000000" w:sz="6" w:space="1"/>
      </w:pBdr>
      <w:tabs>
        <w:tab w:val="center" w:pos="4153"/>
        <w:tab w:val="right" w:pos="8306"/>
      </w:tabs>
      <w:snapToGrid w:val="0"/>
      <w:jc w:val="center"/>
    </w:pPr>
    <w:rPr>
      <w:rFonts w:ascii="Arial Unicode MS" w:hAnsi="Arial Unicode MS" w:eastAsia="微软雅黑"/>
      <w:sz w:val="18"/>
      <w:szCs w:val="18"/>
    </w:rPr>
  </w:style>
  <w:style w:type="paragraph" w:styleId="12">
    <w:name w:val="toc 1"/>
    <w:basedOn w:val="1"/>
    <w:next w:val="1"/>
    <w:qFormat/>
    <w:uiPriority w:val="28"/>
  </w:style>
  <w:style w:type="paragraph" w:styleId="13">
    <w:name w:val="toc 2"/>
    <w:basedOn w:val="1"/>
    <w:next w:val="1"/>
    <w:qFormat/>
    <w:uiPriority w:val="29"/>
    <w:pPr>
      <w:ind w:left="420" w:leftChars="420" w:firstLine="0"/>
    </w:pPr>
  </w:style>
  <w:style w:type="paragraph" w:styleId="14">
    <w:name w:val="Normal (Web)"/>
    <w:basedOn w:val="1"/>
    <w:qFormat/>
    <w:uiPriority w:val="155"/>
    <w:pPr>
      <w:spacing w:before="100" w:beforeAutospacing="1" w:after="100" w:afterAutospacing="1"/>
      <w:jc w:val="left"/>
    </w:pPr>
    <w:rPr>
      <w:rFonts w:ascii="宋体" w:hAnsi="宋体"/>
      <w:sz w:val="24"/>
      <w:szCs w:val="24"/>
    </w:rPr>
  </w:style>
  <w:style w:type="table" w:styleId="16">
    <w:name w:val="Table Grid"/>
    <w:basedOn w:val="15"/>
    <w:qFormat/>
    <w:uiPriority w:val="37"/>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20"/>
    <w:rPr>
      <w:b/>
      <w:bCs/>
    </w:rPr>
  </w:style>
  <w:style w:type="character" w:styleId="19">
    <w:name w:val="FollowedHyperlink"/>
    <w:basedOn w:val="17"/>
    <w:qFormat/>
    <w:uiPriority w:val="156"/>
    <w:rPr>
      <w:color w:val="607FA6"/>
      <w:u w:val="none"/>
    </w:rPr>
  </w:style>
  <w:style w:type="character" w:styleId="20">
    <w:name w:val="HTML Definition"/>
    <w:basedOn w:val="17"/>
    <w:qFormat/>
    <w:uiPriority w:val="0"/>
    <w:rPr>
      <w:i/>
      <w:iCs/>
    </w:rPr>
  </w:style>
  <w:style w:type="character" w:styleId="21">
    <w:name w:val="HTML Acronym"/>
    <w:basedOn w:val="17"/>
    <w:qFormat/>
    <w:uiPriority w:val="0"/>
  </w:style>
  <w:style w:type="character" w:styleId="22">
    <w:name w:val="Hyperlink"/>
    <w:basedOn w:val="17"/>
    <w:qFormat/>
    <w:uiPriority w:val="157"/>
    <w:rPr>
      <w:color w:val="607FA6"/>
      <w:u w:val="none"/>
    </w:rPr>
  </w:style>
  <w:style w:type="character" w:styleId="23">
    <w:name w:val="HTML Code"/>
    <w:basedOn w:val="17"/>
    <w:qFormat/>
    <w:uiPriority w:val="0"/>
    <w:rPr>
      <w:rFonts w:hint="default" w:ascii="monospace" w:hAnsi="monospace" w:eastAsia="monospace" w:cs="monospace"/>
      <w:sz w:val="21"/>
      <w:szCs w:val="21"/>
    </w:rPr>
  </w:style>
  <w:style w:type="character" w:styleId="24">
    <w:name w:val="HTML Keyboard"/>
    <w:basedOn w:val="17"/>
    <w:qFormat/>
    <w:uiPriority w:val="0"/>
    <w:rPr>
      <w:rFonts w:hint="default" w:ascii="monospace" w:hAnsi="monospace" w:eastAsia="monospace" w:cs="monospace"/>
      <w:sz w:val="21"/>
      <w:szCs w:val="21"/>
    </w:rPr>
  </w:style>
  <w:style w:type="character" w:styleId="25">
    <w:name w:val="HTML Sample"/>
    <w:basedOn w:val="17"/>
    <w:qFormat/>
    <w:uiPriority w:val="0"/>
    <w:rPr>
      <w:rFonts w:ascii="monospace" w:hAnsi="monospace" w:eastAsia="monospace" w:cs="monospace"/>
      <w:sz w:val="21"/>
      <w:szCs w:val="21"/>
    </w:rPr>
  </w:style>
  <w:style w:type="paragraph" w:styleId="26">
    <w:name w:val="List Paragraph"/>
    <w:basedOn w:val="1"/>
    <w:qFormat/>
    <w:uiPriority w:val="26"/>
    <w:pPr>
      <w:ind w:firstLine="200"/>
    </w:pPr>
  </w:style>
  <w:style w:type="character" w:customStyle="1" w:styleId="27">
    <w:name w:val="页眉 Char"/>
    <w:basedOn w:val="17"/>
    <w:link w:val="11"/>
    <w:qFormat/>
    <w:uiPriority w:val="158"/>
    <w:rPr>
      <w:rFonts w:ascii="Calibri" w:hAnsi="Calibri"/>
      <w:sz w:val="18"/>
      <w:szCs w:val="18"/>
    </w:rPr>
  </w:style>
  <w:style w:type="character" w:customStyle="1" w:styleId="28">
    <w:name w:val="页脚 Char"/>
    <w:basedOn w:val="17"/>
    <w:link w:val="10"/>
    <w:qFormat/>
    <w:uiPriority w:val="159"/>
    <w:rPr>
      <w:rFonts w:hint="eastAsia" w:ascii="Arial Unicode MS" w:hAnsi="Arial Unicode MS" w:eastAsia="微软雅黑" w:cs="Arial Unicode MS"/>
      <w:sz w:val="18"/>
      <w:szCs w:val="18"/>
    </w:rPr>
  </w:style>
  <w:style w:type="character" w:customStyle="1" w:styleId="29">
    <w:name w:val="font01"/>
    <w:basedOn w:val="17"/>
    <w:qFormat/>
    <w:uiPriority w:val="160"/>
    <w:rPr>
      <w:rFonts w:hint="eastAsia" w:ascii="宋体" w:hAnsi="宋体" w:eastAsia="宋体" w:cs="宋体"/>
      <w:b/>
      <w:color w:val="000000"/>
      <w:sz w:val="24"/>
      <w:szCs w:val="24"/>
      <w:u w:val="none"/>
    </w:rPr>
  </w:style>
  <w:style w:type="character" w:customStyle="1" w:styleId="30">
    <w:name w:val="rich_media_meta_nickname2"/>
    <w:basedOn w:val="17"/>
    <w:qFormat/>
    <w:uiPriority w:val="161"/>
    <w:rPr>
      <w:vanish/>
    </w:rPr>
  </w:style>
  <w:style w:type="character" w:customStyle="1" w:styleId="31">
    <w:name w:val="font11"/>
    <w:basedOn w:val="17"/>
    <w:qFormat/>
    <w:uiPriority w:val="162"/>
    <w:rPr>
      <w:rFonts w:hint="eastAsia" w:ascii="宋体" w:hAnsi="宋体" w:eastAsia="宋体" w:cs="宋体"/>
      <w:b/>
      <w:color w:val="000000"/>
      <w:sz w:val="56"/>
      <w:szCs w:val="56"/>
      <w:u w:val="none"/>
    </w:rPr>
  </w:style>
  <w:style w:type="character" w:customStyle="1" w:styleId="32">
    <w:name w:val="font41"/>
    <w:basedOn w:val="17"/>
    <w:qFormat/>
    <w:uiPriority w:val="163"/>
    <w:rPr>
      <w:rFonts w:hint="eastAsia" w:ascii="宋体" w:hAnsi="宋体" w:eastAsia="宋体" w:cs="宋体"/>
      <w:b/>
      <w:color w:val="000000"/>
      <w:sz w:val="36"/>
      <w:szCs w:val="36"/>
      <w:u w:val="none"/>
    </w:rPr>
  </w:style>
  <w:style w:type="character" w:customStyle="1" w:styleId="33">
    <w:name w:val="font51"/>
    <w:basedOn w:val="17"/>
    <w:qFormat/>
    <w:uiPriority w:val="164"/>
    <w:rPr>
      <w:rFonts w:hint="eastAsia" w:ascii="宋体" w:hAnsi="宋体" w:eastAsia="宋体" w:cs="宋体"/>
      <w:b/>
      <w:color w:val="000000"/>
      <w:sz w:val="28"/>
      <w:szCs w:val="28"/>
      <w:u w:val="none"/>
    </w:rPr>
  </w:style>
  <w:style w:type="character" w:customStyle="1" w:styleId="34">
    <w:name w:val="批注框文本 Char"/>
    <w:basedOn w:val="17"/>
    <w:link w:val="9"/>
    <w:qFormat/>
    <w:uiPriority w:val="165"/>
    <w:rPr>
      <w:rFonts w:ascii="Calibri" w:hAnsi="Calibri"/>
      <w:sz w:val="18"/>
      <w:szCs w:val="18"/>
    </w:rPr>
  </w:style>
  <w:style w:type="character" w:customStyle="1" w:styleId="35">
    <w:name w:val="日期 Char"/>
    <w:basedOn w:val="17"/>
    <w:link w:val="8"/>
    <w:qFormat/>
    <w:uiPriority w:val="166"/>
    <w:rPr>
      <w:rFonts w:ascii="Calibri" w:hAnsi="Calibri"/>
      <w:sz w:val="21"/>
      <w:szCs w:val="21"/>
    </w:rPr>
  </w:style>
  <w:style w:type="character" w:customStyle="1" w:styleId="36">
    <w:name w:val="标题 1 Char"/>
    <w:basedOn w:val="17"/>
    <w:link w:val="3"/>
    <w:qFormat/>
    <w:uiPriority w:val="167"/>
    <w:rPr>
      <w:rFonts w:ascii="Calibri" w:hAnsi="Calibri"/>
      <w:b/>
      <w:sz w:val="44"/>
      <w:szCs w:val="44"/>
    </w:rPr>
  </w:style>
  <w:style w:type="character" w:customStyle="1" w:styleId="37">
    <w:name w:val="标题 2 Char"/>
    <w:basedOn w:val="17"/>
    <w:link w:val="2"/>
    <w:qFormat/>
    <w:uiPriority w:val="168"/>
    <w:rPr>
      <w:rFonts w:asciiTheme="majorHAnsi" w:hAnsiTheme="majorHAnsi" w:eastAsiaTheme="majorEastAsia" w:cstheme="minorBidi"/>
      <w:b/>
      <w:sz w:val="32"/>
      <w:szCs w:val="32"/>
    </w:rPr>
  </w:style>
  <w:style w:type="character" w:customStyle="1" w:styleId="38">
    <w:name w:val="标题 3 Char"/>
    <w:basedOn w:val="17"/>
    <w:link w:val="4"/>
    <w:qFormat/>
    <w:uiPriority w:val="169"/>
    <w:rPr>
      <w:rFonts w:ascii="Calibri" w:hAnsi="Calibri"/>
      <w:b/>
      <w:sz w:val="32"/>
      <w:szCs w:val="32"/>
    </w:rPr>
  </w:style>
  <w:style w:type="character" w:customStyle="1" w:styleId="39">
    <w:name w:val="标题 4 Char"/>
    <w:basedOn w:val="17"/>
    <w:link w:val="5"/>
    <w:qFormat/>
    <w:uiPriority w:val="170"/>
    <w:rPr>
      <w:rFonts w:asciiTheme="majorHAnsi" w:hAnsiTheme="majorHAnsi" w:eastAsiaTheme="majorEastAsia" w:cstheme="minorBidi"/>
      <w:b/>
      <w:sz w:val="28"/>
      <w:szCs w:val="28"/>
    </w:rPr>
  </w:style>
  <w:style w:type="paragraph" w:customStyle="1" w:styleId="40">
    <w:name w:val="TOC 标题1"/>
    <w:basedOn w:val="3"/>
    <w:next w:val="1"/>
    <w:semiHidden/>
    <w:unhideWhenUsed/>
    <w:qFormat/>
    <w:uiPriority w:val="171"/>
    <w:pPr>
      <w:spacing w:before="480" w:after="0" w:line="276" w:lineRule="auto"/>
      <w:jc w:val="left"/>
      <w:outlineLvl w:val="9"/>
    </w:pPr>
    <w:rPr>
      <w:rFonts w:asciiTheme="majorHAnsi" w:hAnsiTheme="majorHAnsi" w:eastAsiaTheme="majorEastAsia" w:cstheme="minorBidi"/>
      <w:color w:val="366091" w:themeColor="accent1" w:themeShade="BF"/>
      <w:sz w:val="28"/>
      <w:szCs w:val="28"/>
    </w:rPr>
  </w:style>
  <w:style w:type="character" w:customStyle="1" w:styleId="41">
    <w:name w:val="c3"/>
    <w:basedOn w:val="17"/>
    <w:qFormat/>
    <w:uiPriority w:val="0"/>
  </w:style>
  <w:style w:type="character" w:customStyle="1" w:styleId="42">
    <w:name w:val="left"/>
    <w:basedOn w:val="17"/>
    <w:qFormat/>
    <w:uiPriority w:val="0"/>
  </w:style>
  <w:style w:type="character" w:customStyle="1" w:styleId="43">
    <w:name w:val="tit7"/>
    <w:basedOn w:val="17"/>
    <w:qFormat/>
    <w:uiPriority w:val="0"/>
    <w:rPr>
      <w:b/>
      <w:bCs/>
      <w:color w:val="333333"/>
      <w:sz w:val="24"/>
      <w:szCs w:val="24"/>
    </w:rPr>
  </w:style>
  <w:style w:type="character" w:customStyle="1" w:styleId="44">
    <w:name w:val="c1"/>
    <w:basedOn w:val="17"/>
    <w:qFormat/>
    <w:uiPriority w:val="0"/>
  </w:style>
  <w:style w:type="character" w:customStyle="1" w:styleId="45">
    <w:name w:val="c2"/>
    <w:basedOn w:val="17"/>
    <w:qFormat/>
    <w:uiPriority w:val="0"/>
  </w:style>
  <w:style w:type="character" w:customStyle="1" w:styleId="46">
    <w:name w:val="msg-box"/>
    <w:basedOn w:val="17"/>
    <w:qFormat/>
    <w:uiPriority w:val="0"/>
  </w:style>
  <w:style w:type="character" w:customStyle="1" w:styleId="47">
    <w:name w:val="buvis"/>
    <w:basedOn w:val="17"/>
    <w:qFormat/>
    <w:uiPriority w:val="0"/>
    <w:rPr>
      <w:color w:val="999999"/>
    </w:rPr>
  </w:style>
  <w:style w:type="character" w:customStyle="1" w:styleId="48">
    <w:name w:val="buvis1"/>
    <w:basedOn w:val="17"/>
    <w:qFormat/>
    <w:uiPriority w:val="0"/>
    <w:rPr>
      <w:color w:val="CC0000"/>
    </w:rPr>
  </w:style>
  <w:style w:type="character" w:customStyle="1" w:styleId="49">
    <w:name w:val="NormalCharacter"/>
    <w:semiHidden/>
    <w:qFormat/>
    <w:uiPriority w:val="0"/>
  </w:style>
  <w:style w:type="paragraph" w:customStyle="1" w:styleId="50">
    <w:name w:val="Table Paragraph"/>
    <w:basedOn w:val="1"/>
    <w:qFormat/>
    <w:uiPriority w:val="1"/>
  </w:style>
  <w:style w:type="paragraph" w:customStyle="1" w:styleId="51">
    <w:name w:val="_Style 2"/>
    <w:basedOn w:val="1"/>
    <w:qFormat/>
    <w:uiPriority w:val="99"/>
    <w:pPr>
      <w:spacing w:line="351" w:lineRule="atLeast"/>
      <w:ind w:firstLine="623"/>
      <w:textAlignment w:val="baseline"/>
    </w:pPr>
    <w:rPr>
      <w:rFonts w:ascii="Times New Roman" w:hAnsi="Times New Roman" w:eastAsia="仿宋_GB2312" w:cs="Times New Roman"/>
      <w:color w:val="000000"/>
      <w:sz w:val="31"/>
      <w:szCs w:val="31"/>
    </w:rPr>
  </w:style>
  <w:style w:type="paragraph" w:customStyle="1" w:styleId="52">
    <w:name w:val="Normal_0"/>
    <w:qFormat/>
    <w:uiPriority w:val="0"/>
    <w:pPr>
      <w:spacing w:before="120" w:after="240"/>
      <w:jc w:val="both"/>
    </w:pPr>
    <w:rPr>
      <w:rFonts w:ascii="Calibri" w:hAnsi="Calibri" w:eastAsia="Calibri" w:cs="Times New Roman"/>
      <w:sz w:val="22"/>
      <w:szCs w:val="22"/>
      <w:lang w:val="ru-RU" w:eastAsia="en-US" w:bidi="ar-SA"/>
    </w:rPr>
  </w:style>
  <w:style w:type="paragraph" w:customStyle="1" w:styleId="53">
    <w:name w:val="hkw"/>
    <w:basedOn w:val="1"/>
    <w:qFormat/>
    <w:uiPriority w:val="0"/>
    <w:pPr>
      <w:widowControl/>
      <w:adjustRightInd w:val="0"/>
      <w:snapToGrid w:val="0"/>
      <w:spacing w:beforeLines="50" w:line="360" w:lineRule="auto"/>
      <w:ind w:firstLine="480" w:firstLineChars="200"/>
      <w:jc w:val="left"/>
    </w:pPr>
    <w:rPr>
      <w:rFonts w:ascii="宋体" w:hAnsi="宋体"/>
      <w:kern w:val="0"/>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39</Pages>
  <Words>17517</Words>
  <Characters>18070</Characters>
  <Lines>129</Lines>
  <Paragraphs>36</Paragraphs>
  <TotalTime>1</TotalTime>
  <ScaleCrop>false</ScaleCrop>
  <LinksUpToDate>false</LinksUpToDate>
  <CharactersWithSpaces>18134</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2021-01-14T06:43:00Z</dcterms:created>
  <dc:creator>Administrator</dc:creator>
  <cp:lastModifiedBy>VXDIAG</cp:lastModifiedBy>
  <cp:lastPrinted>2021-12-09T00:35:00Z</cp:lastPrinted>
  <dcterms:modified xsi:type="dcterms:W3CDTF">2022-12-17T03:36:58Z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8896B0E758774D948BC592FCB623E6C2</vt:lpwstr>
  </property>
</Properties>
</file>